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bookmarkStart w:id="0" w:name="_GoBack"/>
      <w:bookmarkEnd w:id="0"/>
    </w:p>
    <w:p w14:paraId="74323C04" w14:textId="77777777" w:rsidR="006B5192" w:rsidRDefault="006B5192" w:rsidP="006B5192">
      <w:pPr>
        <w:spacing w:after="120"/>
        <w:jc w:val="center"/>
        <w:rPr>
          <w:rFonts w:ascii="Times New Roman" w:hAnsi="Times New Roman"/>
          <w:b/>
          <w:sz w:val="32"/>
        </w:rPr>
      </w:pPr>
      <w:r w:rsidRPr="00B94033">
        <w:rPr>
          <w:rFonts w:ascii="Times New Roman" w:hAnsi="Times New Roman"/>
          <w:b/>
          <w:sz w:val="32"/>
        </w:rPr>
        <w:t>POZIV NA DODJELU BESPOVRATNIH SREDSTAVA</w:t>
      </w:r>
      <w:r w:rsidRPr="00B94033" w:rsidDel="006033F3">
        <w:rPr>
          <w:rFonts w:ascii="Times New Roman" w:hAnsi="Times New Roman"/>
          <w:b/>
          <w:sz w:val="32"/>
        </w:rPr>
        <w:t xml:space="preserve"> </w:t>
      </w:r>
    </w:p>
    <w:p w14:paraId="46355998" w14:textId="77777777" w:rsidR="006B5192" w:rsidRPr="00B94033" w:rsidRDefault="006B5192" w:rsidP="006B5192">
      <w:pPr>
        <w:jc w:val="center"/>
        <w:rPr>
          <w:rFonts w:ascii="Times New Roman" w:hAnsi="Times New Roman"/>
          <w:b/>
          <w:sz w:val="32"/>
        </w:rPr>
      </w:pPr>
      <w:r>
        <w:rPr>
          <w:rFonts w:ascii="Times New Roman" w:eastAsiaTheme="minorEastAsia" w:hAnsi="Times New Roman"/>
          <w:b/>
          <w:bCs/>
          <w:color w:val="171796"/>
          <w:sz w:val="32"/>
          <w:szCs w:val="40"/>
        </w:rPr>
        <w:t>RAZVOJNE ISTRAŽIVAČKE POTPORE</w:t>
      </w:r>
    </w:p>
    <w:p w14:paraId="07BAE4AE" w14:textId="77777777" w:rsidR="006B5192" w:rsidRPr="00B94033" w:rsidRDefault="006B5192" w:rsidP="006B5192">
      <w:pPr>
        <w:spacing w:after="0"/>
        <w:jc w:val="center"/>
        <w:rPr>
          <w:rFonts w:ascii="Times New Roman" w:hAnsi="Times New Roman"/>
          <w:b/>
          <w:color w:val="0070C0"/>
          <w:sz w:val="24"/>
          <w:szCs w:val="24"/>
        </w:rPr>
      </w:pPr>
      <w:r w:rsidRPr="00B94033">
        <w:rPr>
          <w:rFonts w:ascii="Times New Roman" w:hAnsi="Times New Roman"/>
          <w:b/>
          <w:sz w:val="24"/>
          <w:szCs w:val="24"/>
        </w:rPr>
        <w:t>(</w:t>
      </w:r>
      <w:r w:rsidRPr="00B94033">
        <w:rPr>
          <w:rFonts w:ascii="Times New Roman" w:hAnsi="Times New Roman"/>
          <w:b/>
          <w:i/>
          <w:sz w:val="24"/>
          <w:szCs w:val="24"/>
        </w:rPr>
        <w:t xml:space="preserve">referentni broj: </w:t>
      </w:r>
      <w:r w:rsidRPr="00B13C17">
        <w:rPr>
          <w:rStyle w:val="Bodytext285pt"/>
          <w:rFonts w:eastAsiaTheme="minorHAnsi"/>
          <w:b/>
          <w:i/>
          <w:sz w:val="24"/>
        </w:rPr>
        <w:t>C3.2.R</w:t>
      </w:r>
      <w:r>
        <w:rPr>
          <w:rStyle w:val="Bodytext285pt"/>
          <w:rFonts w:eastAsiaTheme="minorHAnsi"/>
          <w:b/>
          <w:i/>
          <w:sz w:val="24"/>
        </w:rPr>
        <w:t>2</w:t>
      </w:r>
      <w:r w:rsidRPr="00B13C17">
        <w:rPr>
          <w:rStyle w:val="Bodytext285pt"/>
          <w:rFonts w:eastAsiaTheme="minorHAnsi"/>
          <w:b/>
          <w:i/>
          <w:sz w:val="24"/>
        </w:rPr>
        <w:t>-I1.06</w:t>
      </w:r>
      <w:r w:rsidRPr="00B94033">
        <w:rPr>
          <w:rFonts w:ascii="Times New Roman" w:hAnsi="Times New Roman"/>
          <w:b/>
          <w:i/>
          <w:sz w:val="24"/>
          <w:szCs w:val="24"/>
        </w:rPr>
        <w:t>)</w:t>
      </w:r>
    </w:p>
    <w:p w14:paraId="27E38D20" w14:textId="77777777" w:rsidR="006B5192" w:rsidRPr="00B94033" w:rsidRDefault="006B5192" w:rsidP="006B5192">
      <w:pPr>
        <w:jc w:val="center"/>
        <w:rPr>
          <w:rFonts w:ascii="Times New Roman" w:hAnsi="Times New Roman"/>
          <w:b/>
          <w:sz w:val="24"/>
        </w:rPr>
      </w:pPr>
    </w:p>
    <w:p w14:paraId="5FA9DB04" w14:textId="77777777" w:rsidR="006B5192" w:rsidRPr="00B94033" w:rsidRDefault="006B5192" w:rsidP="006B5192">
      <w:pPr>
        <w:tabs>
          <w:tab w:val="left" w:pos="1257"/>
        </w:tabs>
        <w:jc w:val="center"/>
        <w:rPr>
          <w:rFonts w:ascii="Times New Roman" w:eastAsiaTheme="minorEastAsia" w:hAnsi="Times New Roman"/>
          <w:b/>
          <w:bCs/>
          <w:color w:val="171796"/>
          <w:sz w:val="32"/>
          <w:szCs w:val="40"/>
        </w:rPr>
      </w:pPr>
      <w:r w:rsidRPr="00B94033">
        <w:rPr>
          <w:rFonts w:ascii="Times New Roman" w:eastAsiaTheme="minorEastAsia" w:hAnsi="Times New Roman"/>
          <w:b/>
          <w:bCs/>
          <w:color w:val="171796"/>
          <w:sz w:val="32"/>
          <w:szCs w:val="40"/>
        </w:rPr>
        <w:t xml:space="preserve">PRILOG </w:t>
      </w:r>
      <w:r>
        <w:rPr>
          <w:rFonts w:ascii="Times New Roman" w:eastAsiaTheme="minorEastAsia" w:hAnsi="Times New Roman"/>
          <w:b/>
          <w:bCs/>
          <w:color w:val="171796"/>
          <w:sz w:val="32"/>
          <w:szCs w:val="40"/>
        </w:rPr>
        <w:t>5</w:t>
      </w:r>
      <w:r w:rsidRPr="00B94033">
        <w:rPr>
          <w:rFonts w:ascii="Times New Roman" w:eastAsiaTheme="minorEastAsia" w:hAnsi="Times New Roman"/>
          <w:b/>
          <w:bCs/>
          <w:color w:val="171796"/>
          <w:sz w:val="32"/>
          <w:szCs w:val="40"/>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lastRenderedPageBreak/>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lastRenderedPageBreak/>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lastRenderedPageBreak/>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w:t>
            </w:r>
            <w:r w:rsidRPr="00E43DB5">
              <w:rPr>
                <w:rFonts w:ascii="Times New Roman" w:eastAsia="Calibri" w:hAnsi="Times New Roman" w:cs="Times New Roman"/>
                <w:sz w:val="20"/>
                <w:szCs w:val="20"/>
              </w:rPr>
              <w:lastRenderedPageBreak/>
              <w:t xml:space="preserve">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ili </w:t>
            </w:r>
            <w:r w:rsidRPr="005B25F1">
              <w:rPr>
                <w:rFonts w:ascii="Times New Roman" w:eastAsia="Calibri" w:hAnsi="Times New Roman" w:cs="Times New Roman"/>
                <w:sz w:val="20"/>
                <w:szCs w:val="20"/>
              </w:rPr>
              <w:lastRenderedPageBreak/>
              <w:t>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Ako je elektronički pristup natječajnoj dokumentaciji bio </w:t>
            </w:r>
            <w:r w:rsidRPr="00182B1F">
              <w:rPr>
                <w:rFonts w:ascii="Times New Roman" w:hAnsi="Times New Roman" w:cs="Times New Roman"/>
                <w:sz w:val="20"/>
                <w:szCs w:val="20"/>
              </w:rPr>
              <w:lastRenderedPageBreak/>
              <w:t>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lastRenderedPageBreak/>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lastRenderedPageBreak/>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 xml:space="preserve">-a izričito ili implicitno onemogućeno priznanje i prihvaćanje jednakovrijednih potvrda </w:t>
            </w:r>
            <w:r w:rsidRPr="002C6F65">
              <w:rPr>
                <w:rFonts w:ascii="Times New Roman" w:eastAsia="Calibri" w:hAnsi="Times New Roman" w:cs="Times New Roman"/>
                <w:sz w:val="20"/>
                <w:szCs w:val="20"/>
              </w:rPr>
              <w:lastRenderedPageBreak/>
              <w:t>(certifikata)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ListParagraph"/>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ListParagraph"/>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01522FEE" w:rsidR="00783487" w:rsidRDefault="00783487" w:rsidP="00783487">
      <w:pPr>
        <w:spacing w:before="0" w:after="0"/>
        <w:contextualSpacing/>
        <w:jc w:val="both"/>
        <w:rPr>
          <w:rFonts w:ascii="Times New Roman" w:eastAsia="Calibri" w:hAnsi="Times New Roman" w:cs="Times New Roman"/>
          <w:sz w:val="20"/>
          <w:szCs w:val="20"/>
        </w:rPr>
      </w:pPr>
    </w:p>
    <w:p w14:paraId="4905798E" w14:textId="7106034D" w:rsidR="006B5192" w:rsidRDefault="006B5192" w:rsidP="00783487">
      <w:pPr>
        <w:spacing w:before="0" w:after="0"/>
        <w:contextualSpacing/>
        <w:jc w:val="both"/>
        <w:rPr>
          <w:rFonts w:ascii="Times New Roman" w:eastAsia="Calibri" w:hAnsi="Times New Roman" w:cs="Times New Roman"/>
          <w:sz w:val="20"/>
          <w:szCs w:val="20"/>
        </w:rPr>
      </w:pPr>
    </w:p>
    <w:p w14:paraId="0EB9A0A7" w14:textId="7A316A0B" w:rsidR="006B5192" w:rsidRDefault="006B5192" w:rsidP="00783487">
      <w:pPr>
        <w:spacing w:before="0" w:after="0"/>
        <w:contextualSpacing/>
        <w:jc w:val="both"/>
        <w:rPr>
          <w:rFonts w:ascii="Times New Roman" w:eastAsia="Calibri" w:hAnsi="Times New Roman" w:cs="Times New Roman"/>
          <w:sz w:val="20"/>
          <w:szCs w:val="20"/>
        </w:rPr>
      </w:pPr>
    </w:p>
    <w:p w14:paraId="54BE33A9" w14:textId="1CCF8FD4" w:rsidR="006B5192" w:rsidRDefault="006B5192" w:rsidP="00783487">
      <w:pPr>
        <w:spacing w:before="0" w:after="0"/>
        <w:contextualSpacing/>
        <w:jc w:val="both"/>
        <w:rPr>
          <w:rFonts w:ascii="Times New Roman" w:eastAsia="Calibri" w:hAnsi="Times New Roman" w:cs="Times New Roman"/>
          <w:sz w:val="20"/>
          <w:szCs w:val="20"/>
        </w:rPr>
      </w:pPr>
    </w:p>
    <w:p w14:paraId="61CD828F" w14:textId="07FECBF1" w:rsidR="006B5192" w:rsidRDefault="006B5192" w:rsidP="00783487">
      <w:pPr>
        <w:spacing w:before="0" w:after="0"/>
        <w:contextualSpacing/>
        <w:jc w:val="both"/>
        <w:rPr>
          <w:rFonts w:ascii="Times New Roman" w:eastAsia="Calibri" w:hAnsi="Times New Roman" w:cs="Times New Roman"/>
          <w:sz w:val="20"/>
          <w:szCs w:val="20"/>
        </w:rPr>
      </w:pPr>
    </w:p>
    <w:p w14:paraId="54E2939F" w14:textId="706E5307" w:rsidR="006B5192" w:rsidRDefault="006B5192" w:rsidP="00783487">
      <w:pPr>
        <w:spacing w:before="0" w:after="0"/>
        <w:contextualSpacing/>
        <w:jc w:val="both"/>
        <w:rPr>
          <w:rFonts w:ascii="Times New Roman" w:eastAsia="Calibri" w:hAnsi="Times New Roman" w:cs="Times New Roman"/>
          <w:sz w:val="20"/>
          <w:szCs w:val="20"/>
        </w:rPr>
      </w:pPr>
    </w:p>
    <w:p w14:paraId="53742AE7" w14:textId="60B0930D" w:rsidR="006B5192" w:rsidRDefault="006B5192" w:rsidP="00783487">
      <w:pPr>
        <w:spacing w:before="0" w:after="0"/>
        <w:contextualSpacing/>
        <w:jc w:val="both"/>
        <w:rPr>
          <w:rFonts w:ascii="Times New Roman" w:eastAsia="Calibri" w:hAnsi="Times New Roman" w:cs="Times New Roman"/>
          <w:sz w:val="20"/>
          <w:szCs w:val="20"/>
        </w:rPr>
      </w:pPr>
    </w:p>
    <w:p w14:paraId="710631C3" w14:textId="68B027E0" w:rsidR="006B5192" w:rsidRDefault="006B5192" w:rsidP="00783487">
      <w:pPr>
        <w:spacing w:before="0" w:after="0"/>
        <w:contextualSpacing/>
        <w:jc w:val="both"/>
        <w:rPr>
          <w:rFonts w:ascii="Times New Roman" w:eastAsia="Calibri" w:hAnsi="Times New Roman" w:cs="Times New Roman"/>
          <w:sz w:val="20"/>
          <w:szCs w:val="20"/>
        </w:rPr>
      </w:pPr>
    </w:p>
    <w:p w14:paraId="48F6A726" w14:textId="55FF23B6" w:rsidR="006B5192" w:rsidRDefault="006B5192" w:rsidP="00783487">
      <w:pPr>
        <w:spacing w:before="0" w:after="0"/>
        <w:contextualSpacing/>
        <w:jc w:val="both"/>
        <w:rPr>
          <w:rFonts w:ascii="Times New Roman" w:eastAsia="Calibri" w:hAnsi="Times New Roman" w:cs="Times New Roman"/>
          <w:sz w:val="20"/>
          <w:szCs w:val="20"/>
        </w:rPr>
      </w:pPr>
    </w:p>
    <w:p w14:paraId="3809DB4E" w14:textId="70A1E63C" w:rsidR="006B5192" w:rsidRDefault="006B5192" w:rsidP="00783487">
      <w:pPr>
        <w:spacing w:before="0" w:after="0"/>
        <w:contextualSpacing/>
        <w:jc w:val="both"/>
        <w:rPr>
          <w:rFonts w:ascii="Times New Roman" w:eastAsia="Calibri" w:hAnsi="Times New Roman" w:cs="Times New Roman"/>
          <w:sz w:val="20"/>
          <w:szCs w:val="20"/>
        </w:rPr>
      </w:pPr>
    </w:p>
    <w:p w14:paraId="0E0A887B" w14:textId="40C29D13" w:rsidR="006B5192" w:rsidRDefault="006B5192" w:rsidP="00783487">
      <w:pPr>
        <w:spacing w:before="0" w:after="0"/>
        <w:contextualSpacing/>
        <w:jc w:val="both"/>
        <w:rPr>
          <w:rFonts w:ascii="Times New Roman" w:eastAsia="Calibri" w:hAnsi="Times New Roman" w:cs="Times New Roman"/>
          <w:sz w:val="20"/>
          <w:szCs w:val="20"/>
        </w:rPr>
      </w:pPr>
    </w:p>
    <w:p w14:paraId="0510B4ED" w14:textId="767B4081" w:rsidR="006B5192" w:rsidRDefault="006B5192" w:rsidP="00783487">
      <w:pPr>
        <w:spacing w:before="0" w:after="0"/>
        <w:contextualSpacing/>
        <w:jc w:val="both"/>
        <w:rPr>
          <w:rFonts w:ascii="Times New Roman" w:eastAsia="Calibri" w:hAnsi="Times New Roman" w:cs="Times New Roman"/>
          <w:sz w:val="20"/>
          <w:szCs w:val="20"/>
        </w:rPr>
      </w:pPr>
    </w:p>
    <w:p w14:paraId="71669D9B" w14:textId="4150AB18" w:rsidR="006B5192" w:rsidRDefault="006B5192" w:rsidP="00783487">
      <w:pPr>
        <w:spacing w:before="0" w:after="0"/>
        <w:contextualSpacing/>
        <w:jc w:val="both"/>
        <w:rPr>
          <w:rFonts w:ascii="Times New Roman" w:eastAsia="Calibri" w:hAnsi="Times New Roman" w:cs="Times New Roman"/>
          <w:sz w:val="20"/>
          <w:szCs w:val="20"/>
        </w:rPr>
      </w:pPr>
    </w:p>
    <w:p w14:paraId="4EC09E25" w14:textId="5A09382C" w:rsidR="006B5192" w:rsidRDefault="006B5192" w:rsidP="00783487">
      <w:pPr>
        <w:spacing w:before="0" w:after="0"/>
        <w:contextualSpacing/>
        <w:jc w:val="both"/>
        <w:rPr>
          <w:rFonts w:ascii="Times New Roman" w:eastAsia="Calibri" w:hAnsi="Times New Roman" w:cs="Times New Roman"/>
          <w:sz w:val="20"/>
          <w:szCs w:val="20"/>
        </w:rPr>
      </w:pPr>
    </w:p>
    <w:p w14:paraId="2EBCCB8C" w14:textId="42CE9AAD" w:rsidR="006B5192" w:rsidRDefault="006B5192" w:rsidP="00783487">
      <w:pPr>
        <w:spacing w:before="0" w:after="0"/>
        <w:contextualSpacing/>
        <w:jc w:val="both"/>
        <w:rPr>
          <w:rFonts w:ascii="Times New Roman" w:eastAsia="Calibri" w:hAnsi="Times New Roman" w:cs="Times New Roman"/>
          <w:sz w:val="20"/>
          <w:szCs w:val="20"/>
        </w:rPr>
      </w:pPr>
    </w:p>
    <w:p w14:paraId="0B10C0A2" w14:textId="77777777" w:rsidR="006B5192" w:rsidRPr="00C93169" w:rsidRDefault="006B5192"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-osnovna pravila za objavljivanje </w:t>
            </w:r>
            <w:r w:rsidRPr="00DC1AD5">
              <w:rPr>
                <w:rFonts w:ascii="Times New Roman" w:hAnsi="Times New Roman"/>
                <w:sz w:val="20"/>
                <w:szCs w:val="20"/>
              </w:rPr>
              <w:lastRenderedPageBreak/>
              <w:t>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lastRenderedPageBreak/>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lastRenderedPageBreak/>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 xml:space="preserve">Iznimno moguće je odrediti i manju korekciju primjenjujući načelo razmjernosti (ukoliko je zahvaćenost tehničkih specifikacija manja od 5% ukupne vrijednosti troškovnika te ukoliko se radi o stavkama koje su </w:t>
            </w:r>
            <w:r w:rsidRPr="00811D7C">
              <w:rPr>
                <w:rFonts w:ascii="Times New Roman" w:hAnsi="Times New Roman"/>
                <w:sz w:val="20"/>
                <w:szCs w:val="20"/>
              </w:rPr>
              <w:lastRenderedPageBreak/>
              <w:t>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lastRenderedPageBreak/>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068956A5" w:rsidR="00620D19" w:rsidRDefault="00620D19" w:rsidP="00620D19">
      <w:pPr>
        <w:tabs>
          <w:tab w:val="left" w:pos="2040"/>
        </w:tabs>
        <w:rPr>
          <w:rFonts w:ascii="Times New Roman" w:eastAsia="Calibri" w:hAnsi="Times New Roman" w:cs="Times New Roman"/>
          <w:b/>
        </w:rPr>
      </w:pPr>
    </w:p>
    <w:p w14:paraId="5DCDA426" w14:textId="0B0C254A" w:rsidR="006B5192" w:rsidRDefault="006B5192" w:rsidP="00620D19">
      <w:pPr>
        <w:tabs>
          <w:tab w:val="left" w:pos="2040"/>
        </w:tabs>
        <w:rPr>
          <w:rFonts w:ascii="Times New Roman" w:eastAsia="Calibri" w:hAnsi="Times New Roman" w:cs="Times New Roman"/>
          <w:b/>
        </w:rPr>
      </w:pPr>
    </w:p>
    <w:p w14:paraId="6BFF4433" w14:textId="224DF6AE" w:rsidR="006B5192" w:rsidRDefault="006B5192" w:rsidP="00620D19">
      <w:pPr>
        <w:tabs>
          <w:tab w:val="left" w:pos="2040"/>
        </w:tabs>
        <w:rPr>
          <w:rFonts w:ascii="Times New Roman" w:eastAsia="Calibri" w:hAnsi="Times New Roman" w:cs="Times New Roman"/>
          <w:b/>
        </w:rPr>
      </w:pPr>
    </w:p>
    <w:p w14:paraId="23FD3B78" w14:textId="4090EE85" w:rsidR="006B5192" w:rsidRDefault="006B5192" w:rsidP="00620D19">
      <w:pPr>
        <w:tabs>
          <w:tab w:val="left" w:pos="2040"/>
        </w:tabs>
        <w:rPr>
          <w:rFonts w:ascii="Times New Roman" w:eastAsia="Calibri" w:hAnsi="Times New Roman" w:cs="Times New Roman"/>
          <w:b/>
        </w:rPr>
      </w:pPr>
    </w:p>
    <w:p w14:paraId="131B4DBE" w14:textId="53705C97" w:rsidR="006B5192" w:rsidRDefault="006B5192" w:rsidP="00620D19">
      <w:pPr>
        <w:tabs>
          <w:tab w:val="left" w:pos="2040"/>
        </w:tabs>
        <w:rPr>
          <w:rFonts w:ascii="Times New Roman" w:eastAsia="Calibri" w:hAnsi="Times New Roman" w:cs="Times New Roman"/>
          <w:b/>
        </w:rPr>
      </w:pPr>
    </w:p>
    <w:p w14:paraId="189CF469" w14:textId="77777777" w:rsidR="006B5192" w:rsidRDefault="006B5192"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lastRenderedPageBreak/>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w:t>
            </w:r>
            <w:r w:rsidRPr="00DC1AD5">
              <w:rPr>
                <w:rFonts w:ascii="Times New Roman" w:eastAsia="Calibri" w:hAnsi="Times New Roman" w:cs="Times New Roman"/>
                <w:sz w:val="20"/>
                <w:szCs w:val="20"/>
              </w:rPr>
              <w:lastRenderedPageBreak/>
              <w:t>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 xml:space="preserve">U projektnom prijedlogu je navedeno da će se rabiti glavni kriterij EU zelene nabave u svrhu energetske učinkovitosti dizajna novog rasvjetnog sustava – </w:t>
            </w:r>
            <w:r w:rsidRPr="00DC1AD5">
              <w:rPr>
                <w:rFonts w:ascii="Times New Roman" w:eastAsia="Calibri" w:hAnsi="Times New Roman" w:cs="Times New Roman"/>
                <w:sz w:val="20"/>
                <w:szCs w:val="20"/>
              </w:rPr>
              <w:lastRenderedPageBreak/>
              <w:t>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A075" w14:textId="77777777" w:rsidR="005D3504" w:rsidRDefault="005D3504" w:rsidP="0056094F">
      <w:pPr>
        <w:spacing w:before="0" w:after="0"/>
      </w:pPr>
      <w:r>
        <w:separator/>
      </w:r>
    </w:p>
  </w:endnote>
  <w:endnote w:type="continuationSeparator" w:id="0">
    <w:p w14:paraId="55B11030" w14:textId="77777777" w:rsidR="005D3504" w:rsidRDefault="005D3504" w:rsidP="0056094F">
      <w:pPr>
        <w:spacing w:before="0" w:after="0"/>
      </w:pPr>
      <w:r>
        <w:continuationSeparator/>
      </w:r>
    </w:p>
  </w:endnote>
  <w:endnote w:type="continuationNotice" w:id="1">
    <w:p w14:paraId="5B3BCB72" w14:textId="77777777" w:rsidR="005D3504" w:rsidRDefault="005D35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3BB6" w14:textId="77777777" w:rsidR="005D3504" w:rsidRDefault="005D3504">
    <w:pPr>
      <w:pStyle w:val="Footer"/>
      <w:jc w:val="center"/>
      <w:rPr>
        <w:rFonts w:ascii="Times New Roman" w:hAnsi="Times New Roman" w:cs="Times New Roman"/>
        <w:sz w:val="18"/>
        <w:szCs w:val="18"/>
      </w:rPr>
    </w:pPr>
  </w:p>
  <w:p w14:paraId="5789A5E2" w14:textId="0234F057" w:rsidR="005D3504" w:rsidRPr="00EF5861" w:rsidRDefault="005D3504">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9D4E7E">
          <w:rPr>
            <w:rFonts w:ascii="Times New Roman" w:hAnsi="Times New Roman" w:cs="Times New Roman"/>
            <w:noProof/>
            <w:sz w:val="18"/>
            <w:szCs w:val="18"/>
          </w:rPr>
          <w:t>36</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55611" w14:textId="77777777" w:rsidR="005D3504" w:rsidRDefault="005D3504" w:rsidP="0056094F">
      <w:pPr>
        <w:spacing w:before="0" w:after="0"/>
      </w:pPr>
      <w:r>
        <w:separator/>
      </w:r>
    </w:p>
  </w:footnote>
  <w:footnote w:type="continuationSeparator" w:id="0">
    <w:p w14:paraId="5AF5E840" w14:textId="77777777" w:rsidR="005D3504" w:rsidRDefault="005D3504" w:rsidP="0056094F">
      <w:pPr>
        <w:spacing w:before="0" w:after="0"/>
      </w:pPr>
      <w:r>
        <w:continuationSeparator/>
      </w:r>
    </w:p>
  </w:footnote>
  <w:footnote w:type="continuationNotice" w:id="1">
    <w:p w14:paraId="5732EF33" w14:textId="77777777" w:rsidR="005D3504" w:rsidRDefault="005D3504">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w:t>
      </w:r>
      <w:r w:rsidRPr="008F691C">
        <w:rPr>
          <w:lang w:val="hr-HR"/>
        </w:rPr>
        <w:t>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w:t>
      </w:r>
      <w:r w:rsidRPr="00460D22">
        <w:rPr>
          <w:lang w:val="hr-HR"/>
        </w:rPr>
        <w:t>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w:t>
      </w:r>
      <w:r w:rsidRPr="004C1A12">
        <w:rPr>
          <w:lang w:val="hr-HR"/>
        </w:rPr>
        <w:t>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5192"/>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4E7E"/>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6B519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E3BE-F0D6-4A42-8B92-69DAB517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10259</Words>
  <Characters>58478</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2023-01-03T09:54:00Z</dcterms:modified>
</cp:coreProperties>
</file>