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7C" w:rsidRPr="00B256F0" w:rsidRDefault="004B437C" w:rsidP="00B256F0">
      <w:pPr>
        <w:spacing w:before="120" w:after="120" w:line="276" w:lineRule="auto"/>
        <w:contextualSpacing/>
        <w:jc w:val="center"/>
        <w:rPr>
          <w:rFonts w:ascii="Times New Roman" w:hAnsi="Times New Roman" w:cs="Times New Roman"/>
          <w:b/>
          <w:sz w:val="24"/>
          <w:szCs w:val="24"/>
        </w:rPr>
      </w:pPr>
    </w:p>
    <w:p w:rsidR="004B437C" w:rsidRDefault="004B437C" w:rsidP="00B256F0">
      <w:pPr>
        <w:spacing w:before="120" w:after="120" w:line="276" w:lineRule="auto"/>
        <w:contextualSpacing/>
        <w:jc w:val="center"/>
        <w:rPr>
          <w:rFonts w:ascii="Times New Roman" w:hAnsi="Times New Roman" w:cs="Times New Roman"/>
          <w:b/>
          <w:sz w:val="28"/>
          <w:szCs w:val="24"/>
        </w:rPr>
      </w:pPr>
      <w:r w:rsidRPr="00B256F0">
        <w:rPr>
          <w:rFonts w:ascii="Times New Roman" w:hAnsi="Times New Roman" w:cs="Times New Roman"/>
          <w:b/>
          <w:sz w:val="28"/>
          <w:szCs w:val="24"/>
        </w:rPr>
        <w:t>POZIV NA DODJELU BESPOVRATNIH SREDSTAVA</w:t>
      </w:r>
      <w:r w:rsidRPr="00B256F0" w:rsidDel="006033F3">
        <w:rPr>
          <w:rFonts w:ascii="Times New Roman" w:hAnsi="Times New Roman" w:cs="Times New Roman"/>
          <w:b/>
          <w:sz w:val="28"/>
          <w:szCs w:val="24"/>
        </w:rPr>
        <w:t xml:space="preserve"> </w:t>
      </w:r>
    </w:p>
    <w:p w:rsidR="00B256F0" w:rsidRPr="00B256F0" w:rsidRDefault="00B256F0" w:rsidP="00B256F0">
      <w:pPr>
        <w:spacing w:before="120" w:after="120" w:line="276" w:lineRule="auto"/>
        <w:contextualSpacing/>
        <w:jc w:val="center"/>
        <w:rPr>
          <w:rFonts w:ascii="Times New Roman" w:hAnsi="Times New Roman" w:cs="Times New Roman"/>
          <w:b/>
          <w:sz w:val="28"/>
          <w:szCs w:val="24"/>
        </w:rPr>
      </w:pPr>
    </w:p>
    <w:p w:rsidR="004B437C" w:rsidRPr="00B256F0" w:rsidRDefault="004B437C" w:rsidP="00B256F0">
      <w:pPr>
        <w:spacing w:before="120" w:after="120" w:line="276" w:lineRule="auto"/>
        <w:contextualSpacing/>
        <w:jc w:val="center"/>
        <w:rPr>
          <w:rFonts w:ascii="Times New Roman" w:hAnsi="Times New Roman" w:cs="Times New Roman"/>
          <w:b/>
          <w:sz w:val="28"/>
          <w:szCs w:val="24"/>
        </w:rPr>
      </w:pPr>
      <w:r w:rsidRPr="00B256F0">
        <w:rPr>
          <w:rFonts w:ascii="Times New Roman" w:eastAsiaTheme="minorEastAsia" w:hAnsi="Times New Roman" w:cs="Times New Roman"/>
          <w:b/>
          <w:bCs/>
          <w:color w:val="171796"/>
          <w:sz w:val="28"/>
          <w:szCs w:val="24"/>
        </w:rPr>
        <w:t>RAZVOJNE ISTRAŽIVAČKE POTPORE</w:t>
      </w:r>
    </w:p>
    <w:p w:rsidR="004B437C" w:rsidRPr="00B256F0" w:rsidRDefault="004B437C" w:rsidP="00B256F0">
      <w:pPr>
        <w:spacing w:before="120" w:after="120" w:line="276" w:lineRule="auto"/>
        <w:contextualSpacing/>
        <w:jc w:val="center"/>
        <w:rPr>
          <w:rFonts w:ascii="Times New Roman" w:hAnsi="Times New Roman" w:cs="Times New Roman"/>
          <w:b/>
          <w:color w:val="0070C0"/>
          <w:sz w:val="24"/>
          <w:szCs w:val="24"/>
        </w:rPr>
      </w:pPr>
      <w:r w:rsidRPr="00B256F0">
        <w:rPr>
          <w:rFonts w:ascii="Times New Roman" w:hAnsi="Times New Roman" w:cs="Times New Roman"/>
          <w:b/>
          <w:sz w:val="24"/>
          <w:szCs w:val="24"/>
        </w:rPr>
        <w:t>(</w:t>
      </w:r>
      <w:r w:rsidRPr="00B256F0">
        <w:rPr>
          <w:rFonts w:ascii="Times New Roman" w:hAnsi="Times New Roman" w:cs="Times New Roman"/>
          <w:b/>
          <w:i/>
          <w:sz w:val="24"/>
          <w:szCs w:val="24"/>
        </w:rPr>
        <w:t xml:space="preserve">referentni broj: </w:t>
      </w:r>
      <w:r w:rsidR="00AC2377" w:rsidRPr="00B256F0">
        <w:rPr>
          <w:rStyle w:val="Bodytext285pt"/>
          <w:rFonts w:eastAsiaTheme="minorHAnsi"/>
          <w:b/>
          <w:i/>
          <w:sz w:val="24"/>
          <w:szCs w:val="24"/>
          <w:lang w:val="hr-HR"/>
        </w:rPr>
        <w:t>C3.2.R</w:t>
      </w:r>
      <w:r w:rsidR="00B8768D" w:rsidRPr="00B256F0">
        <w:rPr>
          <w:rStyle w:val="Bodytext285pt"/>
          <w:rFonts w:eastAsiaTheme="minorHAnsi"/>
          <w:b/>
          <w:i/>
          <w:sz w:val="24"/>
          <w:szCs w:val="24"/>
          <w:lang w:val="hr-HR"/>
        </w:rPr>
        <w:t>2</w:t>
      </w:r>
      <w:r w:rsidR="00AC2377" w:rsidRPr="00B256F0">
        <w:rPr>
          <w:rStyle w:val="Bodytext285pt"/>
          <w:rFonts w:eastAsiaTheme="minorHAnsi"/>
          <w:b/>
          <w:i/>
          <w:sz w:val="24"/>
          <w:szCs w:val="24"/>
          <w:lang w:val="hr-HR"/>
        </w:rPr>
        <w:t>-I1.06</w:t>
      </w:r>
      <w:r w:rsidR="00AC2377" w:rsidRPr="00B256F0">
        <w:rPr>
          <w:rFonts w:ascii="Times New Roman" w:hAnsi="Times New Roman" w:cs="Times New Roman"/>
          <w:b/>
          <w:i/>
          <w:sz w:val="24"/>
          <w:szCs w:val="24"/>
        </w:rPr>
        <w:t>)</w:t>
      </w:r>
    </w:p>
    <w:p w:rsidR="004B437C" w:rsidRPr="00B256F0" w:rsidRDefault="004B437C" w:rsidP="00B256F0">
      <w:pPr>
        <w:spacing w:before="120" w:after="120" w:line="276" w:lineRule="auto"/>
        <w:contextualSpacing/>
        <w:jc w:val="center"/>
        <w:rPr>
          <w:rFonts w:ascii="Times New Roman" w:hAnsi="Times New Roman" w:cs="Times New Roman"/>
          <w:b/>
          <w:sz w:val="24"/>
          <w:szCs w:val="24"/>
        </w:rPr>
      </w:pPr>
    </w:p>
    <w:p w:rsidR="00787D17" w:rsidRPr="00B256F0" w:rsidRDefault="00787D17" w:rsidP="00B256F0">
      <w:pPr>
        <w:tabs>
          <w:tab w:val="left" w:pos="1257"/>
        </w:tabs>
        <w:spacing w:before="120" w:after="120" w:line="276" w:lineRule="auto"/>
        <w:contextualSpacing/>
        <w:jc w:val="center"/>
        <w:rPr>
          <w:rFonts w:ascii="Times New Roman" w:eastAsiaTheme="minorEastAsia" w:hAnsi="Times New Roman" w:cs="Times New Roman"/>
          <w:b/>
          <w:bCs/>
          <w:color w:val="171796"/>
          <w:sz w:val="24"/>
          <w:szCs w:val="24"/>
          <w:lang w:eastAsia="hr-HR"/>
        </w:rPr>
      </w:pPr>
    </w:p>
    <w:p w:rsidR="004B437C" w:rsidRPr="00B256F0" w:rsidRDefault="004B437C" w:rsidP="00B256F0">
      <w:pPr>
        <w:tabs>
          <w:tab w:val="left" w:pos="1257"/>
        </w:tabs>
        <w:spacing w:before="120" w:after="120" w:line="276" w:lineRule="auto"/>
        <w:contextualSpacing/>
        <w:jc w:val="center"/>
        <w:rPr>
          <w:rFonts w:ascii="Times New Roman" w:eastAsiaTheme="minorEastAsia" w:hAnsi="Times New Roman" w:cs="Times New Roman"/>
          <w:b/>
          <w:bCs/>
          <w:color w:val="171796"/>
          <w:sz w:val="28"/>
          <w:szCs w:val="24"/>
          <w:lang w:eastAsia="hr-HR"/>
        </w:rPr>
      </w:pPr>
      <w:r w:rsidRPr="00B256F0">
        <w:rPr>
          <w:rFonts w:ascii="Times New Roman" w:eastAsiaTheme="minorEastAsia" w:hAnsi="Times New Roman" w:cs="Times New Roman"/>
          <w:b/>
          <w:bCs/>
          <w:color w:val="171796"/>
          <w:sz w:val="28"/>
          <w:szCs w:val="24"/>
          <w:lang w:eastAsia="hr-HR"/>
        </w:rPr>
        <w:t xml:space="preserve">PRILOG </w:t>
      </w:r>
      <w:r w:rsidRPr="00B256F0">
        <w:rPr>
          <w:rFonts w:ascii="Times New Roman" w:eastAsiaTheme="minorEastAsia" w:hAnsi="Times New Roman" w:cs="Times New Roman"/>
          <w:b/>
          <w:bCs/>
          <w:color w:val="171796"/>
          <w:sz w:val="28"/>
          <w:szCs w:val="24"/>
        </w:rPr>
        <w:t>1</w:t>
      </w:r>
      <w:r w:rsidR="00561A31" w:rsidRPr="00B256F0">
        <w:rPr>
          <w:rFonts w:ascii="Times New Roman" w:eastAsiaTheme="minorEastAsia" w:hAnsi="Times New Roman" w:cs="Times New Roman"/>
          <w:b/>
          <w:bCs/>
          <w:color w:val="171796"/>
          <w:sz w:val="28"/>
          <w:szCs w:val="24"/>
        </w:rPr>
        <w:t>1</w:t>
      </w:r>
      <w:r w:rsidRPr="00B256F0">
        <w:rPr>
          <w:rFonts w:ascii="Times New Roman" w:eastAsiaTheme="minorEastAsia" w:hAnsi="Times New Roman" w:cs="Times New Roman"/>
          <w:b/>
          <w:bCs/>
          <w:color w:val="171796"/>
          <w:sz w:val="28"/>
          <w:szCs w:val="24"/>
          <w:lang w:eastAsia="hr-HR"/>
        </w:rPr>
        <w:t xml:space="preserve">. </w:t>
      </w:r>
    </w:p>
    <w:p w:rsidR="00561A31" w:rsidRPr="00561A31" w:rsidRDefault="00B256F0" w:rsidP="00B256F0">
      <w:pPr>
        <w:spacing w:before="120" w:after="120" w:line="276" w:lineRule="auto"/>
        <w:contextualSpacing/>
        <w:jc w:val="center"/>
        <w:rPr>
          <w:rFonts w:ascii="Times New Roman" w:eastAsia="Calibri" w:hAnsi="Times New Roman" w:cs="Times New Roman"/>
          <w:b/>
          <w:sz w:val="28"/>
          <w:szCs w:val="24"/>
        </w:rPr>
      </w:pPr>
      <w:r w:rsidRPr="00B256F0">
        <w:rPr>
          <w:rFonts w:ascii="Times New Roman" w:eastAsia="Calibri" w:hAnsi="Times New Roman" w:cs="Times New Roman"/>
          <w:b/>
          <w:sz w:val="28"/>
          <w:szCs w:val="24"/>
        </w:rPr>
        <w:t>SMJERNICE ZA KORISNIKE VEZANE UZ PRIMJENU PRAVILA O DRŽAVNIM POTPORAMA</w:t>
      </w:r>
    </w:p>
    <w:p w:rsidR="00787D17" w:rsidRPr="00B256F0" w:rsidRDefault="00787D17" w:rsidP="00B256F0">
      <w:pPr>
        <w:spacing w:before="120" w:after="120" w:line="276" w:lineRule="auto"/>
        <w:contextualSpacing/>
        <w:jc w:val="center"/>
        <w:rPr>
          <w:rFonts w:ascii="Times New Roman" w:hAnsi="Times New Roman" w:cs="Times New Roman"/>
          <w:b/>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 xml:space="preserve">Ovaj Prilog ima za cilj informirati potencijalne prijavitelje o pravilima o državnim potporama koja se odnose na područje istraživanja, razvoja i inovacija. </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Prijavitelji su pozvani da prouče ove Smjernice kako bi razumjeli pojam državnih potpora, ekonomske i neekonomske djelatnosti te mogli sami utvrditi uključuju li njihovi projekti ekonomske djelatnosti, odnosno jesu li prihvatljivi za financiranje u okviru ovog Poziva.</w:t>
      </w:r>
    </w:p>
    <w:p w:rsidR="00B256F0" w:rsidRPr="00B256F0" w:rsidRDefault="00B256F0" w:rsidP="00B256F0">
      <w:pPr>
        <w:spacing w:before="120" w:after="120" w:line="276" w:lineRule="auto"/>
        <w:contextualSpacing/>
        <w:jc w:val="both"/>
        <w:rPr>
          <w:rFonts w:ascii="Times New Roman" w:eastAsiaTheme="minorEastAsia" w:hAnsi="Times New Roman" w:cs="Times New Roman"/>
          <w:b/>
          <w:sz w:val="24"/>
          <w:szCs w:val="24"/>
        </w:rPr>
      </w:pPr>
      <w:r w:rsidRPr="00B256F0">
        <w:rPr>
          <w:rFonts w:ascii="Times New Roman" w:eastAsiaTheme="minorEastAsia" w:hAnsi="Times New Roman" w:cs="Times New Roman"/>
          <w:sz w:val="24"/>
          <w:szCs w:val="24"/>
        </w:rPr>
        <w:t>Poziv na dostavu prijedloga “</w:t>
      </w:r>
      <w:r>
        <w:rPr>
          <w:rFonts w:ascii="Times New Roman" w:eastAsiaTheme="minorEastAsia" w:hAnsi="Times New Roman" w:cs="Times New Roman"/>
          <w:sz w:val="24"/>
          <w:szCs w:val="24"/>
        </w:rPr>
        <w:t>Razvojne istraživačke potpore</w:t>
      </w:r>
      <w:r w:rsidRPr="00B256F0">
        <w:rPr>
          <w:rFonts w:ascii="Times New Roman" w:eastAsiaTheme="minorEastAsia" w:hAnsi="Times New Roman" w:cs="Times New Roman"/>
          <w:sz w:val="24"/>
          <w:szCs w:val="24"/>
        </w:rPr>
        <w:t xml:space="preserve">“ odnosi se na projekte koji </w:t>
      </w:r>
      <w:r w:rsidRPr="00B256F0">
        <w:rPr>
          <w:rFonts w:ascii="Times New Roman" w:eastAsiaTheme="minorEastAsia" w:hAnsi="Times New Roman" w:cs="Times New Roman"/>
          <w:b/>
          <w:sz w:val="24"/>
          <w:szCs w:val="24"/>
        </w:rPr>
        <w:t>ne uključuju državne potpore.</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Smjernice su utemeljene na odredbama Okvira Zajednice za državne potpore za istraživanje i razvoj i inovacije</w:t>
      </w:r>
      <w:r>
        <w:rPr>
          <w:rStyle w:val="FootnoteReference"/>
          <w:rFonts w:ascii="Times New Roman" w:eastAsiaTheme="minorEastAsia" w:hAnsi="Times New Roman" w:cs="Times New Roman"/>
          <w:sz w:val="24"/>
          <w:szCs w:val="24"/>
        </w:rPr>
        <w:footnoteReference w:id="1"/>
      </w:r>
      <w:r w:rsidRPr="00B256F0">
        <w:rPr>
          <w:rFonts w:ascii="Times New Roman" w:eastAsiaTheme="minorEastAsia" w:hAnsi="Times New Roman" w:cs="Times New Roman"/>
          <w:sz w:val="24"/>
          <w:szCs w:val="24"/>
        </w:rPr>
        <w:t xml:space="preserve">  </w:t>
      </w:r>
      <w:r w:rsidR="00F61B89" w:rsidRPr="00F61B89">
        <w:rPr>
          <w:rFonts w:ascii="Times New Roman" w:eastAsiaTheme="minorEastAsia" w:hAnsi="Times New Roman" w:cs="Times New Roman"/>
          <w:sz w:val="24"/>
          <w:szCs w:val="24"/>
        </w:rPr>
        <w:t xml:space="preserve">(2022/C 414/01) </w:t>
      </w:r>
      <w:r w:rsidRPr="00B256F0">
        <w:rPr>
          <w:rFonts w:ascii="Times New Roman" w:eastAsiaTheme="minorEastAsia" w:hAnsi="Times New Roman" w:cs="Times New Roman"/>
          <w:sz w:val="24"/>
          <w:szCs w:val="24"/>
        </w:rPr>
        <w:t>(u daljnjem tekstu: Okvir Zajednice) koji je donijela Europska komisija - utvrđuje detaljna pravila koja se odnose na postojanje državnih potpora u projektima istraživanja i razvoja.</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 xml:space="preserv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Pojam državnih potpora zahtjeva da su kumulativno zadovoljena sljedeća četiri kriterija</w:t>
      </w:r>
      <w:r>
        <w:rPr>
          <w:rStyle w:val="FootnoteReference"/>
          <w:rFonts w:ascii="Times New Roman" w:hAnsi="Times New Roman" w:cs="Times New Roman"/>
          <w:bCs/>
          <w:color w:val="000000"/>
          <w:sz w:val="24"/>
          <w:szCs w:val="24"/>
        </w:rPr>
        <w:footnoteReference w:id="2"/>
      </w:r>
      <w:r w:rsidRPr="00B256F0">
        <w:rPr>
          <w:rFonts w:ascii="Times New Roman" w:hAnsi="Times New Roman" w:cs="Times New Roman"/>
          <w:bCs/>
          <w:color w:val="000000"/>
          <w:sz w:val="24"/>
          <w:szCs w:val="24"/>
        </w:rPr>
        <w:t>:</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su sredstva dodijeljena od strane Države odnosno iz državnih sredstava u bilo kojem obliku,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potpora predstavlja selektivnu ekonomsku prednost stavljanjem određenih poduzetnika ili proizvodnju određene robe u povoljniji položaj,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potpora narušava ili prijeti narušavanjem tržišnog natjecanja,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utječe na trgovinu među državama članicama.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Prijavitelji se moraju obvezati da dodijeljena sredstva neće biti korištena</w:t>
      </w:r>
      <w:r>
        <w:rPr>
          <w:rFonts w:ascii="Times New Roman" w:hAnsi="Times New Roman" w:cs="Times New Roman"/>
          <w:bCs/>
          <w:color w:val="000000"/>
          <w:sz w:val="24"/>
          <w:szCs w:val="24"/>
        </w:rPr>
        <w:t xml:space="preserve"> za ekonomsku djelatnost (Izjava</w:t>
      </w:r>
      <w:r w:rsidRPr="00B256F0">
        <w:rPr>
          <w:rFonts w:ascii="Times New Roman" w:hAnsi="Times New Roman" w:cs="Times New Roman"/>
          <w:bCs/>
          <w:color w:val="000000"/>
          <w:sz w:val="24"/>
          <w:szCs w:val="24"/>
        </w:rPr>
        <w:t xml:space="preserve"> prijavitelja</w:t>
      </w:r>
      <w:r>
        <w:rPr>
          <w:rFonts w:ascii="Times New Roman" w:hAnsi="Times New Roman" w:cs="Times New Roman"/>
          <w:bCs/>
          <w:color w:val="000000"/>
          <w:sz w:val="24"/>
          <w:szCs w:val="24"/>
        </w:rPr>
        <w:t xml:space="preserve"> Obrazac 3.</w:t>
      </w:r>
      <w:r w:rsidRPr="00B256F0">
        <w:rPr>
          <w:rFonts w:ascii="Times New Roman" w:hAnsi="Times New Roman" w:cs="Times New Roman"/>
          <w:bCs/>
          <w:color w:val="000000"/>
          <w:sz w:val="24"/>
          <w:szCs w:val="24"/>
        </w:rPr>
        <w:t>).</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
          <w:bCs/>
          <w:color w:val="000000"/>
          <w:sz w:val="24"/>
          <w:szCs w:val="24"/>
        </w:rPr>
      </w:pPr>
      <w:r w:rsidRPr="00B256F0">
        <w:rPr>
          <w:rFonts w:ascii="Times New Roman" w:hAnsi="Times New Roman" w:cs="Times New Roman"/>
          <w:b/>
          <w:bCs/>
          <w:color w:val="000000"/>
          <w:sz w:val="24"/>
          <w:szCs w:val="24"/>
        </w:rPr>
        <w:t xml:space="preserve">Prijavitelji </w:t>
      </w: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B256F0" w:rsidRPr="00B256F0">
        <w:rPr>
          <w:rFonts w:ascii="Times New Roman" w:hAnsi="Times New Roman" w:cs="Times New Roman"/>
          <w:bCs/>
          <w:color w:val="000000"/>
          <w:sz w:val="24"/>
          <w:szCs w:val="24"/>
        </w:rPr>
        <w:t>Ovaj Poziv na dostavu prijava odnosi se na Projekte k</w:t>
      </w:r>
      <w:r w:rsidR="00B256F0">
        <w:rPr>
          <w:rFonts w:ascii="Times New Roman" w:hAnsi="Times New Roman" w:cs="Times New Roman"/>
          <w:bCs/>
          <w:color w:val="000000"/>
          <w:sz w:val="24"/>
          <w:szCs w:val="24"/>
        </w:rPr>
        <w:t>oje će provoditi p</w:t>
      </w:r>
      <w:r w:rsidR="00B256F0" w:rsidRPr="00B256F0">
        <w:rPr>
          <w:rFonts w:ascii="Times New Roman" w:hAnsi="Times New Roman" w:cs="Times New Roman"/>
          <w:bCs/>
          <w:color w:val="000000"/>
          <w:sz w:val="24"/>
          <w:szCs w:val="24"/>
        </w:rPr>
        <w:t>rijavitelji/korisnici, znanstvene organizacije koje ispunjavaju kriterije za istraživačku organizaciju p</w:t>
      </w:r>
      <w:r w:rsidR="007E069E">
        <w:rPr>
          <w:rFonts w:ascii="Times New Roman" w:hAnsi="Times New Roman" w:cs="Times New Roman"/>
          <w:bCs/>
          <w:color w:val="000000"/>
          <w:sz w:val="24"/>
          <w:szCs w:val="24"/>
        </w:rPr>
        <w:t xml:space="preserve">rema odredbama Okvira Zajednice. </w:t>
      </w:r>
    </w:p>
    <w:p w:rsidR="007E069E" w:rsidRPr="00B256F0" w:rsidRDefault="007E069E" w:rsidP="00B256F0">
      <w:pPr>
        <w:spacing w:before="120" w:after="120" w:line="276" w:lineRule="auto"/>
        <w:contextualSpacing/>
        <w:jc w:val="both"/>
        <w:rPr>
          <w:rFonts w:ascii="Times New Roman" w:hAnsi="Times New Roman" w:cs="Times New Roman"/>
          <w:bCs/>
          <w:color w:val="000000"/>
          <w:sz w:val="24"/>
          <w:szCs w:val="24"/>
        </w:rPr>
      </w:pPr>
    </w:p>
    <w:p w:rsidR="007E069E" w:rsidRPr="00B256F0" w:rsidRDefault="007E069E" w:rsidP="007E069E">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noProof/>
          <w:color w:val="000000"/>
          <w:sz w:val="24"/>
          <w:szCs w:val="24"/>
          <w:lang w:eastAsia="hr-HR"/>
        </w:rPr>
        <mc:AlternateContent>
          <mc:Choice Requires="wps">
            <w:drawing>
              <wp:anchor distT="45720" distB="45720" distL="114300" distR="114300" simplePos="0" relativeHeight="251659264" behindDoc="0" locked="0" layoutInCell="1" allowOverlap="1" wp14:anchorId="236CA605" wp14:editId="4CEB4024">
                <wp:simplePos x="0" y="0"/>
                <wp:positionH relativeFrom="column">
                  <wp:posOffset>-48260</wp:posOffset>
                </wp:positionH>
                <wp:positionV relativeFrom="paragraph">
                  <wp:posOffset>313690</wp:posOffset>
                </wp:positionV>
                <wp:extent cx="6002655" cy="225806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258060"/>
                        </a:xfrm>
                        <a:prstGeom prst="rect">
                          <a:avLst/>
                        </a:prstGeom>
                        <a:solidFill>
                          <a:schemeClr val="accent1">
                            <a:lumMod val="20000"/>
                            <a:lumOff val="80000"/>
                          </a:schemeClr>
                        </a:solidFill>
                        <a:ln w="9525">
                          <a:solidFill>
                            <a:srgbClr val="000000"/>
                          </a:solidFill>
                          <a:miter lim="800000"/>
                          <a:headEnd/>
                          <a:tailEnd/>
                        </a:ln>
                      </wps:spPr>
                      <wps:txbx>
                        <w:txbxContent>
                          <w:p w:rsidR="007E069E" w:rsidRPr="00C73C0F" w:rsidRDefault="007E069E" w:rsidP="00C73C0F">
                            <w:pPr>
                              <w:jc w:val="both"/>
                              <w:rPr>
                                <w:rFonts w:ascii="Times New Roman" w:hAnsi="Times New Roman" w:cs="Times New Roman"/>
                                <w:bCs/>
                                <w:color w:val="000000"/>
                                <w:sz w:val="24"/>
                                <w:szCs w:val="24"/>
                              </w:rPr>
                            </w:pPr>
                            <w:r w:rsidRPr="00C73C0F">
                              <w:rPr>
                                <w:rFonts w:ascii="Times New Roman" w:hAnsi="Times New Roman" w:cs="Times New Roman"/>
                                <w:bCs/>
                                <w:color w:val="000000"/>
                                <w:sz w:val="24"/>
                                <w:szCs w:val="24"/>
                              </w:rPr>
                              <w:t>Istraživačka/znanstvena organizacija ili organizacija za istraživanje i širenje znanja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 (Vidi poglavlje 1.3 Okvira Zajednice).</w:t>
                            </w:r>
                          </w:p>
                          <w:p w:rsidR="00B256F0" w:rsidRDefault="00B25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36CA605" id="_x0000_t202" coordsize="21600,21600" o:spt="202" path="m,l,21600r21600,l21600,xe">
                <v:stroke joinstyle="miter"/>
                <v:path gradientshapeok="t" o:connecttype="rect"/>
              </v:shapetype>
              <v:shape id="Text Box 2" o:spid="_x0000_s1026" type="#_x0000_t202" style="position:absolute;left:0;text-align:left;margin-left:-3.8pt;margin-top:24.7pt;width:472.65pt;height:17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" fillcolor="#d9e2f3 [660]">
                <v:textbox>
                  <w:txbxContent>
                    <w:p w:rsidR="007E069E" w:rsidRPr="00C73C0F" w:rsidRDefault="007E069E" w:rsidP="00C73C0F">
                      <w:pPr>
                        <w:jc w:val="both"/>
                        <w:rPr>
                          <w:rFonts w:ascii="Times New Roman" w:hAnsi="Times New Roman" w:cs="Times New Roman"/>
                          <w:bCs/>
                          <w:color w:val="000000"/>
                          <w:sz w:val="24"/>
                          <w:szCs w:val="24"/>
                        </w:rPr>
                      </w:pPr>
                      <w:r w:rsidRPr="00C73C0F">
                        <w:rPr>
                          <w:rFonts w:ascii="Times New Roman" w:hAnsi="Times New Roman" w:cs="Times New Roman"/>
                          <w:bCs/>
                          <w:color w:val="000000"/>
                          <w:sz w:val="24"/>
                          <w:szCs w:val="24"/>
                        </w:rPr>
                        <w:t>Istraživačka/znanstvena organizacija ili organizacija za istraživanje i širenje znanja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 (Vidi poglavlje 1.3 Okvira Zajednice).</w:t>
                      </w:r>
                    </w:p>
                    <w:p w:rsidR="00B256F0" w:rsidRDefault="00B256F0"/>
                  </w:txbxContent>
                </v:textbox>
                <w10:wrap type="square"/>
              </v:shape>
            </w:pict>
          </mc:Fallback>
        </mc:AlternateContent>
      </w:r>
      <w:r w:rsidR="00C73C0F">
        <w:rPr>
          <w:rFonts w:ascii="Times New Roman" w:hAnsi="Times New Roman" w:cs="Times New Roman"/>
          <w:bCs/>
          <w:color w:val="000000"/>
          <w:sz w:val="24"/>
          <w:szCs w:val="24"/>
        </w:rPr>
        <w:t xml:space="preserve">2. </w:t>
      </w:r>
      <w:r w:rsidRPr="00B256F0">
        <w:rPr>
          <w:rFonts w:ascii="Times New Roman" w:hAnsi="Times New Roman" w:cs="Times New Roman"/>
          <w:bCs/>
          <w:color w:val="000000"/>
          <w:sz w:val="24"/>
          <w:szCs w:val="24"/>
        </w:rPr>
        <w:t>Okvir Zajednice istraživačku organizaciju definira na sljedeći način:</w:t>
      </w:r>
    </w:p>
    <w:p w:rsidR="007E069E" w:rsidRDefault="007E069E"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Dokaz da je</w:t>
      </w:r>
      <w:r w:rsidR="00B256F0" w:rsidRPr="00B256F0">
        <w:rPr>
          <w:rFonts w:ascii="Times New Roman" w:hAnsi="Times New Roman" w:cs="Times New Roman"/>
          <w:bCs/>
          <w:color w:val="000000"/>
          <w:sz w:val="24"/>
          <w:szCs w:val="24"/>
        </w:rPr>
        <w:t xml:space="preserve"> prijavitelj istraživačka organizacija prema Okviru Zajednice provjeravat će se temeljem statuta ili drugog akta prijavitelja</w:t>
      </w:r>
      <w:r w:rsidR="00F61B89">
        <w:rPr>
          <w:rFonts w:ascii="Times New Roman" w:hAnsi="Times New Roman" w:cs="Times New Roman"/>
          <w:bCs/>
          <w:color w:val="000000"/>
          <w:sz w:val="24"/>
          <w:szCs w:val="24"/>
        </w:rPr>
        <w:t>, Izjave prijavitelja ili drugog dokumenta</w:t>
      </w:r>
      <w:r w:rsidR="00B256F0" w:rsidRPr="00B256F0">
        <w:rPr>
          <w:rFonts w:ascii="Times New Roman" w:hAnsi="Times New Roman" w:cs="Times New Roman"/>
          <w:bCs/>
          <w:color w:val="000000"/>
          <w:sz w:val="24"/>
          <w:szCs w:val="24"/>
        </w:rPr>
        <w:t xml:space="preserve"> iz kojeg će nadležno tijelo moći utvrditi gore navedenu definiciju.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
          <w:bCs/>
          <w:color w:val="000000"/>
          <w:sz w:val="24"/>
          <w:szCs w:val="24"/>
        </w:rPr>
      </w:pPr>
      <w:r w:rsidRPr="00C73C0F">
        <w:rPr>
          <w:rFonts w:ascii="Times New Roman" w:hAnsi="Times New Roman" w:cs="Times New Roman"/>
          <w:b/>
          <w:bCs/>
          <w:color w:val="000000"/>
          <w:sz w:val="24"/>
          <w:szCs w:val="24"/>
        </w:rPr>
        <w:t>Ekonomska i neekonomska djelatnost</w:t>
      </w:r>
    </w:p>
    <w:p w:rsidR="00C73C0F" w:rsidRPr="00C73C0F" w:rsidRDefault="00C73C0F" w:rsidP="00B256F0">
      <w:pPr>
        <w:spacing w:before="120" w:after="120" w:line="276" w:lineRule="auto"/>
        <w:contextualSpacing/>
        <w:jc w:val="both"/>
        <w:rPr>
          <w:rFonts w:ascii="Times New Roman" w:hAnsi="Times New Roman" w:cs="Times New Roman"/>
          <w:b/>
          <w:bCs/>
          <w:color w:val="000000"/>
          <w:sz w:val="24"/>
          <w:szCs w:val="24"/>
        </w:rPr>
      </w:pPr>
    </w:p>
    <w:p w:rsidR="00B256F0" w:rsidRPr="00C73C0F" w:rsidRDefault="00C73C0F" w:rsidP="00B256F0">
      <w:pPr>
        <w:spacing w:before="120" w:after="120" w:line="276" w:lineRule="auto"/>
        <w:contextualSpacing/>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3. P</w:t>
      </w:r>
      <w:r w:rsidR="00B256F0" w:rsidRPr="00B256F0">
        <w:rPr>
          <w:rFonts w:ascii="Times New Roman" w:hAnsi="Times New Roman" w:cs="Times New Roman"/>
          <w:bCs/>
          <w:color w:val="000000"/>
          <w:sz w:val="24"/>
          <w:szCs w:val="24"/>
        </w:rPr>
        <w:t xml:space="preserve">rijavitelji su dužni izjaviti da se sredstva koja će im biti dodijeljena temeljem ovog Poziva </w:t>
      </w:r>
      <w:r w:rsidR="00B256F0" w:rsidRPr="00C73C0F">
        <w:rPr>
          <w:rFonts w:ascii="Times New Roman" w:hAnsi="Times New Roman" w:cs="Times New Roman"/>
          <w:b/>
          <w:bCs/>
          <w:color w:val="000000"/>
          <w:sz w:val="24"/>
          <w:szCs w:val="24"/>
        </w:rPr>
        <w:t xml:space="preserve">neće koristiti za ekonomske djelatnosti.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Posljedično, to znači da ta sredstva ne predstavljaju državnu potporu. Stoga će u nastavku biti objašnjeno na što se odnosi pojam ekonomska, odnosno neekonomska djelatnost prema europskoj legislativi.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B256F0" w:rsidRPr="00B256F0">
        <w:rPr>
          <w:rFonts w:ascii="Times New Roman" w:hAnsi="Times New Roman" w:cs="Times New Roman"/>
          <w:bCs/>
          <w:color w:val="000000"/>
          <w:sz w:val="24"/>
          <w:szCs w:val="24"/>
        </w:rPr>
        <w:t xml:space="preserve">Državne potpore dodjeljuju se samo za ekonomsku djelatnost nekog subjekta. Sredstva koja se dodjeljuju za djelatnosti koje su neekonomskog karaktera, ne smatraju se državnim potporama.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AF0B4D"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w:t>
      </w:r>
      <w:r w:rsidR="00B256F0" w:rsidRPr="00B256F0">
        <w:rPr>
          <w:rFonts w:ascii="Times New Roman" w:hAnsi="Times New Roman" w:cs="Times New Roman"/>
          <w:bCs/>
          <w:color w:val="000000"/>
          <w:sz w:val="24"/>
          <w:szCs w:val="24"/>
        </w:rPr>
        <w:t>Poduzetnik je definiran kao subjekt koji provodi ekonomsku djelatnost, bez obzira na njegov pravni status odnosno da li je osnovan u skladu s javnim ili privatnim pr</w:t>
      </w:r>
      <w:r>
        <w:rPr>
          <w:rFonts w:ascii="Times New Roman" w:hAnsi="Times New Roman" w:cs="Times New Roman"/>
          <w:bCs/>
          <w:color w:val="000000"/>
          <w:sz w:val="24"/>
          <w:szCs w:val="24"/>
        </w:rPr>
        <w:t>avom, ili na način financiranja</w:t>
      </w:r>
      <w:r w:rsidR="00B256F0" w:rsidRPr="00B256F0">
        <w:rPr>
          <w:rFonts w:ascii="Times New Roman" w:hAnsi="Times New Roman" w:cs="Times New Roman"/>
          <w:bCs/>
          <w:color w:val="000000"/>
          <w:sz w:val="24"/>
          <w:szCs w:val="24"/>
        </w:rPr>
        <w:t>. Dakle, klasifikacija određenog subjekta kao poduzetnika ovisi o prirodi njegovih djelatnosti. Stoga se može zaključiti da: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Status subjekta prema nacionalnom zakonodavstvu nije odlučujući. Jedini relevantan kriterij po tom pogledu je obavlja li ekonomsku djelatnost,</w:t>
      </w: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 xml:space="preserve">Primjena pravila o državnim potporama ne ovisi o tome da li je subjekt osnovan radi ostvarivanja dobiti, </w:t>
      </w: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Klasifikacija subjekta kao poduzetnika uvijek se odnosi na njegovu specifičnu djelatnost. Subjekt koji provodi i ekonomsku i neekonomsku djelatnost treba promatrati kao poduzetnika jedino u segmentu koji se odnosi na ekonomske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AF0B4D" w:rsidRDefault="00AF0B4D" w:rsidP="00AF0B4D">
      <w:pPr>
        <w:spacing w:before="120"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w:t>
      </w:r>
      <w:r w:rsidR="00B256F0" w:rsidRPr="00AF0B4D">
        <w:rPr>
          <w:rFonts w:ascii="Times New Roman" w:hAnsi="Times New Roman" w:cs="Times New Roman"/>
          <w:bCs/>
          <w:color w:val="000000"/>
          <w:sz w:val="24"/>
          <w:szCs w:val="24"/>
        </w:rPr>
        <w:t xml:space="preserve">Ono što je odlučujuće za ispunjavanje uvjeta iz definicije poduzetnika jest činjenica da se bavi ekonomskom djelatnošću koja se sastoji od ponude proizvoda ili usluga na određenom tržištu. </w:t>
      </w:r>
    </w:p>
    <w:p w:rsidR="00B256F0" w:rsidRPr="00AF0B4D" w:rsidRDefault="00AF0B4D" w:rsidP="00AF0B4D">
      <w:p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noProof/>
          <w:color w:val="000000"/>
          <w:sz w:val="24"/>
          <w:szCs w:val="24"/>
          <w:lang w:eastAsia="hr-HR"/>
        </w:rPr>
        <mc:AlternateContent>
          <mc:Choice Requires="wps">
            <w:drawing>
              <wp:anchor distT="45720" distB="45720" distL="114300" distR="114300" simplePos="0" relativeHeight="251661312" behindDoc="0" locked="0" layoutInCell="1" allowOverlap="1" wp14:anchorId="51DBDF40" wp14:editId="01AA30FD">
                <wp:simplePos x="0" y="0"/>
                <wp:positionH relativeFrom="column">
                  <wp:posOffset>-87630</wp:posOffset>
                </wp:positionH>
                <wp:positionV relativeFrom="paragraph">
                  <wp:posOffset>491490</wp:posOffset>
                </wp:positionV>
                <wp:extent cx="6209665" cy="3005455"/>
                <wp:effectExtent l="0" t="0" r="1968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005455"/>
                        </a:xfrm>
                        <a:prstGeom prst="rect">
                          <a:avLst/>
                        </a:prstGeom>
                        <a:solidFill>
                          <a:schemeClr val="accent1">
                            <a:lumMod val="20000"/>
                            <a:lumOff val="80000"/>
                          </a:schemeClr>
                        </a:solidFill>
                        <a:ln w="9525">
                          <a:solidFill>
                            <a:srgbClr val="000000"/>
                          </a:solidFill>
                          <a:miter lim="800000"/>
                          <a:headEnd/>
                          <a:tailEnd/>
                        </a:ln>
                      </wps:spPr>
                      <wps:txbx>
                        <w:txbxContent>
                          <w:p w:rsidR="00AF0B4D" w:rsidRPr="00294D30" w:rsidRDefault="00AF0B4D" w:rsidP="00294D30">
                            <w:pPr>
                              <w:pStyle w:val="ListParagraph"/>
                              <w:numPr>
                                <w:ilvl w:val="0"/>
                                <w:numId w:val="29"/>
                              </w:numPr>
                              <w:jc w:val="both"/>
                              <w:rPr>
                                <w:rFonts w:ascii="Times New Roman" w:hAnsi="Times New Roman" w:cs="Times New Roman"/>
                                <w:b/>
                                <w:bCs/>
                                <w:sz w:val="24"/>
                              </w:rPr>
                            </w:pPr>
                            <w:r w:rsidRPr="00294D30">
                              <w:rPr>
                                <w:rFonts w:ascii="Times New Roman" w:hAnsi="Times New Roman" w:cs="Times New Roman"/>
                                <w:b/>
                                <w:bCs/>
                                <w:sz w:val="24"/>
                              </w:rPr>
                              <w:t>Primarne djelatnosti istraživačkih organizacija:</w:t>
                            </w:r>
                          </w:p>
                          <w:p w:rsidR="00294D30" w:rsidRDefault="00294D30" w:rsidP="00294D30">
                            <w:pPr>
                              <w:pStyle w:val="ListParagraph"/>
                              <w:jc w:val="both"/>
                              <w:rPr>
                                <w:rFonts w:ascii="Times New Roman" w:hAnsi="Times New Roman" w:cs="Times New Roman"/>
                                <w:bCs/>
                                <w:sz w:val="24"/>
                              </w:rPr>
                            </w:pP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 xml:space="preserve">edukacija u svrhu većeg broja kvalificiranijih ljudskih resursa. Javno obrazovanje organizirano u okviru nacionalnog obrazovnog sustava, koje uglavnom ili u potpunosti financira država i pod nadzorom je države, smatra se neekonomskom djelatnošću; </w:t>
                            </w: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neovisno istraživanje i razvoj za više znanja i bolje razumijevanje, uključujući kolaborativni I&amp;R pri kojem istraživačke organizacije učinkovito surađuju;</w:t>
                            </w:r>
                          </w:p>
                          <w:p w:rsidR="00AF0B4D"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neisključivo i nediskriminacijsko širenje rezultata istraživanja, primjerice podučavanjem, bazama podataka s otvorenim pristupom, otvorenim publikacijama ili računalnim programima s otvorenim kodom.</w:t>
                            </w:r>
                          </w:p>
                          <w:p w:rsidR="00294D30" w:rsidRPr="00294D30" w:rsidRDefault="00294D30" w:rsidP="00294D30">
                            <w:pPr>
                              <w:pStyle w:val="ListParagraph"/>
                              <w:jc w:val="both"/>
                              <w:rPr>
                                <w:rFonts w:ascii="Times New Roman" w:hAnsi="Times New Roman" w:cs="Times New Roman"/>
                                <w:bCs/>
                                <w:sz w:val="24"/>
                              </w:rPr>
                            </w:pPr>
                          </w:p>
                          <w:p w:rsidR="00AF0B4D" w:rsidRPr="00294D30" w:rsidRDefault="00294D30" w:rsidP="00294D30">
                            <w:pPr>
                              <w:pStyle w:val="ListParagraph"/>
                              <w:numPr>
                                <w:ilvl w:val="0"/>
                                <w:numId w:val="29"/>
                              </w:numPr>
                              <w:jc w:val="both"/>
                              <w:rPr>
                                <w:rFonts w:ascii="Times New Roman" w:hAnsi="Times New Roman" w:cs="Times New Roman"/>
                                <w:bCs/>
                                <w:sz w:val="24"/>
                              </w:rPr>
                            </w:pPr>
                            <w:r>
                              <w:rPr>
                                <w:rFonts w:ascii="Times New Roman" w:hAnsi="Times New Roman" w:cs="Times New Roman"/>
                                <w:b/>
                                <w:bCs/>
                                <w:sz w:val="24"/>
                              </w:rPr>
                              <w:t>Aktivnosti prijenosa znanja</w:t>
                            </w:r>
                            <w:r w:rsidR="00AF0B4D" w:rsidRPr="00294D30">
                              <w:rPr>
                                <w:rFonts w:ascii="Times New Roman" w:hAnsi="Times New Roman" w:cs="Times New Roman"/>
                                <w:bCs/>
                                <w:sz w:val="24"/>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1DBDF40" id="_x0000_s1027" type="#_x0000_t202" style="position:absolute;left:0;text-align:left;margin-left:-6.9pt;margin-top:38.7pt;width:488.95pt;height:23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" fillcolor="#d9e2f3 [660]">
                <v:textbox>
                  <w:txbxContent>
                    <w:p w:rsidR="00AF0B4D" w:rsidRPr="00294D30" w:rsidRDefault="00AF0B4D" w:rsidP="00294D30">
                      <w:pPr>
                        <w:pStyle w:val="ListParagraph"/>
                        <w:numPr>
                          <w:ilvl w:val="0"/>
                          <w:numId w:val="29"/>
                        </w:numPr>
                        <w:jc w:val="both"/>
                        <w:rPr>
                          <w:rFonts w:ascii="Times New Roman" w:hAnsi="Times New Roman" w:cs="Times New Roman"/>
                          <w:b/>
                          <w:bCs/>
                          <w:sz w:val="24"/>
                        </w:rPr>
                      </w:pPr>
                      <w:r w:rsidRPr="00294D30">
                        <w:rPr>
                          <w:rFonts w:ascii="Times New Roman" w:hAnsi="Times New Roman" w:cs="Times New Roman"/>
                          <w:b/>
                          <w:bCs/>
                          <w:sz w:val="24"/>
                        </w:rPr>
                        <w:t>Primarne djelatnosti istraživačkih organizacija:</w:t>
                      </w:r>
                    </w:p>
                    <w:p w:rsidR="00294D30" w:rsidRDefault="00294D30" w:rsidP="00294D30">
                      <w:pPr>
                        <w:pStyle w:val="ListParagraph"/>
                        <w:jc w:val="both"/>
                        <w:rPr>
                          <w:rFonts w:ascii="Times New Roman" w:hAnsi="Times New Roman" w:cs="Times New Roman"/>
                          <w:bCs/>
                          <w:sz w:val="24"/>
                        </w:rPr>
                      </w:pP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 xml:space="preserve">edukacija u svrhu većeg broja kvalificiranijih ljudskih resursa. Javno obrazovanje organizirano u okviru nacionalnog obrazovnog sustava, koje uglavnom ili u potpunosti financira država i pod nadzorom je države, smatra se neekonomskom djelatnošću; </w:t>
                      </w: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neovisno istraživanje i razvoj za više znanja i bolje razumijevanje, uključujući kolaborativni I&amp;R pri kojem istraživačke organizacije učinkovito surađuju;</w:t>
                      </w:r>
                    </w:p>
                    <w:p w:rsidR="00AF0B4D"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neisključivo i nediskriminacijsko širenje rezultata istraživanja, primjerice podučavanjem, bazama podataka s otvorenim pristupom, otvorenim publikacijama ili računalnim programima s otvorenim kodom.</w:t>
                      </w:r>
                    </w:p>
                    <w:p w:rsidR="00294D30" w:rsidRPr="00294D30" w:rsidRDefault="00294D30" w:rsidP="00294D30">
                      <w:pPr>
                        <w:pStyle w:val="ListParagraph"/>
                        <w:jc w:val="both"/>
                        <w:rPr>
                          <w:rFonts w:ascii="Times New Roman" w:hAnsi="Times New Roman" w:cs="Times New Roman"/>
                          <w:bCs/>
                          <w:sz w:val="24"/>
                        </w:rPr>
                      </w:pPr>
                    </w:p>
                    <w:p w:rsidR="00AF0B4D" w:rsidRPr="00294D30" w:rsidRDefault="00294D30" w:rsidP="00294D30">
                      <w:pPr>
                        <w:pStyle w:val="ListParagraph"/>
                        <w:numPr>
                          <w:ilvl w:val="0"/>
                          <w:numId w:val="29"/>
                        </w:numPr>
                        <w:jc w:val="both"/>
                        <w:rPr>
                          <w:rFonts w:ascii="Times New Roman" w:hAnsi="Times New Roman" w:cs="Times New Roman"/>
                          <w:bCs/>
                          <w:sz w:val="24"/>
                        </w:rPr>
                      </w:pPr>
                      <w:r>
                        <w:rPr>
                          <w:rFonts w:ascii="Times New Roman" w:hAnsi="Times New Roman" w:cs="Times New Roman"/>
                          <w:b/>
                          <w:bCs/>
                          <w:sz w:val="24"/>
                        </w:rPr>
                        <w:t>Aktivnosti prijenosa znanja</w:t>
                      </w:r>
                      <w:r w:rsidR="00AF0B4D" w:rsidRPr="00294D30">
                        <w:rPr>
                          <w:rFonts w:ascii="Times New Roman" w:hAnsi="Times New Roman" w:cs="Times New Roman"/>
                          <w:bCs/>
                          <w:sz w:val="24"/>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xbxContent>
                </v:textbox>
                <w10:wrap type="square"/>
              </v:shape>
            </w:pict>
          </mc:Fallback>
        </mc:AlternateContent>
      </w:r>
      <w:r>
        <w:rPr>
          <w:rFonts w:ascii="Times New Roman" w:hAnsi="Times New Roman" w:cs="Times New Roman"/>
          <w:bCs/>
          <w:color w:val="000000"/>
          <w:sz w:val="24"/>
          <w:szCs w:val="24"/>
        </w:rPr>
        <w:t xml:space="preserve">7. </w:t>
      </w:r>
      <w:r w:rsidR="00B256F0" w:rsidRPr="00AF0B4D">
        <w:rPr>
          <w:rFonts w:ascii="Times New Roman" w:hAnsi="Times New Roman" w:cs="Times New Roman"/>
          <w:bCs/>
          <w:color w:val="000000"/>
          <w:sz w:val="24"/>
          <w:szCs w:val="24"/>
        </w:rPr>
        <w:t xml:space="preserve">Prema Okviru Zajednice, Komisija smatra da su sljedeće djelatnosti znanstvenih organizacija (ZO) općenito neekonomske: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w:t>
      </w:r>
      <w:r w:rsidR="00B256F0" w:rsidRPr="00B256F0">
        <w:rPr>
          <w:rFonts w:ascii="Times New Roman" w:hAnsi="Times New Roman" w:cs="Times New Roman"/>
          <w:bCs/>
          <w:color w:val="000000"/>
          <w:sz w:val="24"/>
          <w:szCs w:val="24"/>
        </w:rPr>
        <w:t>S druge strane, kada se znanstvena organizacija bavi na primjer iznajmljivanjem opreme ili laboratorija poduzećima, pružanjem usluga poduzećima, obavlja ugovorna istraživanja i provodi ostale ekonomske djelatnosti, javno financiranje tih djelatnosti sm</w:t>
      </w:r>
      <w:r>
        <w:rPr>
          <w:rFonts w:ascii="Times New Roman" w:hAnsi="Times New Roman" w:cs="Times New Roman"/>
          <w:bCs/>
          <w:color w:val="000000"/>
          <w:sz w:val="24"/>
          <w:szCs w:val="24"/>
        </w:rPr>
        <w:t>atrat će se državnom potporom.</w:t>
      </w: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w:t>
      </w:r>
      <w:r w:rsidR="00B256F0" w:rsidRPr="00B256F0">
        <w:rPr>
          <w:rFonts w:ascii="Times New Roman" w:hAnsi="Times New Roman" w:cs="Times New Roman"/>
          <w:bCs/>
          <w:color w:val="000000"/>
          <w:sz w:val="24"/>
          <w:szCs w:val="24"/>
        </w:rPr>
        <w:t xml:space="preserve">Kada znanstvena organizacija provodi neekonomsku i ekonomsku djelatnost, javno financiranje neće se smatrati državnom potporom ako pokriva troškove neekonomskih djelatnosti. Stoga, jednoznačno odvajanje dvije vrste djelatnosti, njihovih troškova, financiranja i prihoda predstavlja ključan kriterij prihvatljivosti.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w:t>
      </w:r>
      <w:r w:rsidR="00B256F0" w:rsidRPr="00B256F0">
        <w:rPr>
          <w:rFonts w:ascii="Times New Roman" w:hAnsi="Times New Roman" w:cs="Times New Roman"/>
          <w:bCs/>
          <w:color w:val="000000"/>
          <w:sz w:val="24"/>
          <w:szCs w:val="24"/>
        </w:rPr>
        <w:t xml:space="preserve">Kada se sredstva dodjeljuju ZO za obavljanje ekonomskih djelatnosti, riječ je o državnim potporama ako su kumulativno zadovoljeni svi kriteriji  koji proizlaze iz članka 107. Ugovora o funkcioniranju Europske unije (u daljnjem tekstu Ugovor). Suprotno tome, ako sredstva neće biti korištena za obavljanje ekonomske djelatnosti, nije riječ o državnoj potpori.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294D30" w:rsidRDefault="00B256F0" w:rsidP="00B256F0">
      <w:pPr>
        <w:spacing w:before="120" w:after="120" w:line="276" w:lineRule="auto"/>
        <w:contextualSpacing/>
        <w:jc w:val="both"/>
        <w:rPr>
          <w:rFonts w:ascii="Times New Roman" w:hAnsi="Times New Roman" w:cs="Times New Roman"/>
          <w:b/>
          <w:bCs/>
          <w:color w:val="000000"/>
          <w:sz w:val="24"/>
          <w:szCs w:val="24"/>
        </w:rPr>
      </w:pPr>
      <w:r w:rsidRPr="00294D30">
        <w:rPr>
          <w:rFonts w:ascii="Times New Roman" w:hAnsi="Times New Roman" w:cs="Times New Roman"/>
          <w:b/>
          <w:bCs/>
          <w:color w:val="000000"/>
          <w:sz w:val="24"/>
          <w:szCs w:val="24"/>
        </w:rPr>
        <w:t>Financiranje neekonomskih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r w:rsidR="00B256F0" w:rsidRPr="00B256F0">
        <w:rPr>
          <w:rFonts w:ascii="Times New Roman" w:hAnsi="Times New Roman" w:cs="Times New Roman"/>
          <w:bCs/>
          <w:color w:val="000000"/>
          <w:sz w:val="24"/>
          <w:szCs w:val="24"/>
        </w:rPr>
        <w:t xml:space="preserve">Što se tiče I&amp;R djelatnosti znanstvenih organizacija primjenjuju se sljedeća specifična pravila: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Ako određena znanstvena organizacija provodi gotovo isključivo neekonomske djelatnosti, njezino financiranje može biti u potpunosti isključeno iz područja primjene pravila o držav</w:t>
      </w:r>
      <w:r w:rsidR="00294D30">
        <w:rPr>
          <w:rFonts w:ascii="Times New Roman" w:hAnsi="Times New Roman" w:cs="Times New Roman"/>
          <w:bCs/>
          <w:color w:val="000000"/>
          <w:sz w:val="24"/>
          <w:szCs w:val="24"/>
        </w:rPr>
        <w:t>nim potporama pod uvjetom da je</w:t>
      </w:r>
      <w:r w:rsidRPr="00B256F0">
        <w:rPr>
          <w:rFonts w:ascii="Times New Roman" w:hAnsi="Times New Roman" w:cs="Times New Roman"/>
          <w:bCs/>
          <w:color w:val="000000"/>
          <w:sz w:val="24"/>
          <w:szCs w:val="24"/>
        </w:rPr>
        <w:t>:</w:t>
      </w:r>
    </w:p>
    <w:p w:rsidR="00294D3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p>
    <w:p w:rsidR="00B256F0" w:rsidRPr="00294D30" w:rsidRDefault="00B256F0" w:rsidP="00294D30">
      <w:pPr>
        <w:pStyle w:val="ListParagraph"/>
        <w:numPr>
          <w:ilvl w:val="0"/>
          <w:numId w:val="34"/>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ekonomska djelatnost isključivo pomoćna djelatnost, odnosno odgovara djelatnosti koja je:</w:t>
      </w:r>
    </w:p>
    <w:p w:rsidR="00294D30" w:rsidRPr="00294D30" w:rsidRDefault="00B256F0" w:rsidP="00294D30">
      <w:pPr>
        <w:pStyle w:val="ListParagraph"/>
        <w:numPr>
          <w:ilvl w:val="0"/>
          <w:numId w:val="36"/>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izravno povezana s radom istraživačke/znanstvene organizacije i neophodna za taj </w:t>
      </w:r>
    </w:p>
    <w:p w:rsidR="00B256F0" w:rsidRPr="00294D30" w:rsidRDefault="00B256F0" w:rsidP="00294D30">
      <w:pPr>
        <w:pStyle w:val="ListParagraph"/>
        <w:spacing w:before="120" w:after="120" w:line="276" w:lineRule="auto"/>
        <w:ind w:left="1440"/>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rad ili </w:t>
      </w:r>
    </w:p>
    <w:p w:rsidR="00B256F0" w:rsidRPr="00B256F0" w:rsidRDefault="00B256F0" w:rsidP="00294D30">
      <w:pPr>
        <w:spacing w:before="120" w:after="120" w:line="276" w:lineRule="auto"/>
        <w:ind w:left="720"/>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2.</w:t>
      </w:r>
      <w:r w:rsidRPr="00B256F0">
        <w:rPr>
          <w:rFonts w:ascii="Times New Roman" w:hAnsi="Times New Roman" w:cs="Times New Roman"/>
          <w:bCs/>
          <w:color w:val="000000"/>
          <w:sz w:val="24"/>
          <w:szCs w:val="24"/>
        </w:rPr>
        <w:tab/>
        <w:t xml:space="preserve">neodvojivo povezana s njihovom glavnom neekonomskom upotrebom, i </w:t>
      </w:r>
    </w:p>
    <w:p w:rsidR="00B256F0" w:rsidRPr="00294D30" w:rsidRDefault="00B256F0" w:rsidP="00294D30">
      <w:pPr>
        <w:pStyle w:val="ListParagraph"/>
        <w:numPr>
          <w:ilvl w:val="0"/>
          <w:numId w:val="34"/>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opseg joj je ograničen. </w:t>
      </w:r>
    </w:p>
    <w:p w:rsidR="00B256F0" w:rsidRPr="00B256F0" w:rsidRDefault="00B256F0" w:rsidP="00294D3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To je slučaj ako ekonomske djelatnosti troše potpuno jednake inpute (primjerice materijal, oprema, radna snaga i fiksni kapital) kao i neekonomske djelatnosti, a kapaciteti koji se svake godine dodjeljuju tim ekonomskim djelatnostima ne premašuju 20% ukupnih godišnjih kapaciteta predmetnog subjekta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r w:rsidR="00B256F0" w:rsidRPr="00B256F0">
        <w:rPr>
          <w:rFonts w:ascii="Times New Roman" w:hAnsi="Times New Roman" w:cs="Times New Roman"/>
          <w:bCs/>
          <w:color w:val="000000"/>
          <w:sz w:val="24"/>
          <w:szCs w:val="24"/>
        </w:rPr>
        <w:t>U slučaju da se isti subjekt bavi i ekonomskim i neekonomskim djelatnostima, javno financiranje neekonomskih djelatnosti neće predstavljati državnu potporu, ako je moguće jednoznačno odvojiti dvije vrste djelatnosti, njihove troškove, financiranje i prihode kako bi se djelotvorno izbjeglo unakrsno subvencioniranje ekonomske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Default="00203F66"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w:t>
      </w:r>
      <w:r w:rsidR="00B256F0" w:rsidRPr="00B256F0">
        <w:rPr>
          <w:rFonts w:ascii="Times New Roman" w:hAnsi="Times New Roman" w:cs="Times New Roman"/>
          <w:bCs/>
          <w:color w:val="000000"/>
          <w:sz w:val="24"/>
          <w:szCs w:val="24"/>
        </w:rPr>
        <w:t xml:space="preserve">U tom slučaju i za tu svrhu prijavitelj/korisnik </w:t>
      </w:r>
      <w:r>
        <w:rPr>
          <w:rFonts w:ascii="Times New Roman" w:hAnsi="Times New Roman" w:cs="Times New Roman"/>
          <w:bCs/>
          <w:color w:val="000000"/>
          <w:sz w:val="24"/>
          <w:szCs w:val="24"/>
        </w:rPr>
        <w:t>izjavljuje (Obrazac 3.</w:t>
      </w:r>
      <w:r w:rsidR="00B256F0" w:rsidRPr="00B256F0">
        <w:rPr>
          <w:rFonts w:ascii="Times New Roman" w:hAnsi="Times New Roman" w:cs="Times New Roman"/>
          <w:bCs/>
          <w:color w:val="000000"/>
          <w:sz w:val="24"/>
          <w:szCs w:val="24"/>
        </w:rPr>
        <w:t xml:space="preserve">) da će uvesti odvajanje ekonomskih i neekonomskih djelatnosti (raspodjelu troškova, izvora financijskih sredstava i prihoda) koje nadalje mora biti vidljivo u godišnjim financijskim izvještajima mjerodavnog subjekta, koji su pak rađeni prema važećim računovodstvenim odredbama.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w:t>
      </w:r>
      <w:r w:rsidR="00B256F0" w:rsidRPr="00B256F0">
        <w:rPr>
          <w:rFonts w:ascii="Times New Roman" w:hAnsi="Times New Roman" w:cs="Times New Roman"/>
          <w:bCs/>
          <w:color w:val="000000"/>
          <w:sz w:val="24"/>
          <w:szCs w:val="24"/>
        </w:rPr>
        <w:t xml:space="preserve">Na temelju navedenog, kako bi se jasno odredili uvjeti za financiranje neekonomske aktivnosti, koje ne podliježe pravilima o državnim potporama, te je u tome slučaju moguća maksimalna potpora u iznosu od 100%, navodimo na koji način djeluju pojedine znanstvene organizacije: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Pr="00203F66" w:rsidRDefault="00203F66" w:rsidP="00203F66">
      <w:pPr>
        <w:spacing w:before="120" w:after="120" w:line="276" w:lineRule="auto"/>
        <w:jc w:val="both"/>
        <w:rPr>
          <w:rFonts w:ascii="Times New Roman" w:eastAsia="Calibri" w:hAnsi="Times New Roman" w:cs="Times New Roman"/>
          <w:b/>
          <w:sz w:val="24"/>
        </w:rPr>
      </w:pPr>
      <w:r w:rsidRPr="00203F66">
        <w:rPr>
          <w:rFonts w:ascii="Times New Roman" w:eastAsia="Calibri" w:hAnsi="Times New Roman" w:cs="Times New Roman"/>
          <w:b/>
          <w:sz w:val="24"/>
        </w:rPr>
        <w:t>Znanstvene organizacija - tipa 1</w:t>
      </w:r>
    </w:p>
    <w:tbl>
      <w:tblPr>
        <w:tblStyle w:val="TableGrid"/>
        <w:tblW w:w="9498" w:type="dxa"/>
        <w:tblInd w:w="-147" w:type="dxa"/>
        <w:tblLook w:val="04A0" w:firstRow="1" w:lastRow="0" w:firstColumn="1" w:lastColumn="0" w:noHBand="0" w:noVBand="1"/>
      </w:tblPr>
      <w:tblGrid>
        <w:gridCol w:w="7555"/>
        <w:gridCol w:w="1943"/>
      </w:tblGrid>
      <w:tr w:rsidR="00203F66" w:rsidRPr="000402DC" w:rsidTr="00203F66">
        <w:tc>
          <w:tcPr>
            <w:tcW w:w="9498"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b/>
              </w:rPr>
              <w:t>materijal, oprema, radna snaga i fiksni kapital</w:t>
            </w:r>
          </w:p>
        </w:tc>
      </w:tr>
      <w:tr w:rsidR="00203F66" w:rsidRPr="000402DC" w:rsidTr="00203F66">
        <w:tc>
          <w:tcPr>
            <w:tcW w:w="7555" w:type="dxa"/>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80%</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w:t>NEEKONOMSKE DJELATNOSTI</w:t>
            </w:r>
          </w:p>
        </w:tc>
        <w:tc>
          <w:tcPr>
            <w:tcW w:w="1943" w:type="dxa"/>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20%</w:t>
            </w:r>
          </w:p>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Ekonomska djelatnost</w:t>
            </w:r>
          </w:p>
        </w:tc>
      </w:tr>
      <w:tr w:rsidR="00203F66" w:rsidRPr="000402DC" w:rsidTr="00203F66">
        <w:tc>
          <w:tcPr>
            <w:tcW w:w="9498" w:type="dxa"/>
            <w:gridSpan w:val="2"/>
          </w:tcPr>
          <w:p w:rsidR="00203F66" w:rsidRPr="000402DC" w:rsidRDefault="00203F66" w:rsidP="008271EA">
            <w:pPr>
              <w:pStyle w:val="ListParagraph"/>
              <w:spacing w:before="120" w:after="120"/>
              <w:ind w:left="0"/>
              <w:contextualSpacing w:val="0"/>
              <w:jc w:val="both"/>
              <w:rPr>
                <w:b/>
              </w:rPr>
            </w:pPr>
            <w:r w:rsidRPr="000402DC">
              <w:rPr>
                <w:b/>
                <w:noProof/>
                <w:color w:val="C00000"/>
                <w:lang w:eastAsia="hr-HR"/>
              </w:rPr>
              <mc:AlternateContent>
                <mc:Choice Requires="wps">
                  <w:drawing>
                    <wp:anchor distT="0" distB="0" distL="114300" distR="114300" simplePos="0" relativeHeight="251663360" behindDoc="0" locked="0" layoutInCell="1" allowOverlap="1" wp14:anchorId="253907F8" wp14:editId="574C6BC1">
                      <wp:simplePos x="0" y="0"/>
                      <wp:positionH relativeFrom="column">
                        <wp:posOffset>2530724</wp:posOffset>
                      </wp:positionH>
                      <wp:positionV relativeFrom="paragraph">
                        <wp:posOffset>-2564131</wp:posOffset>
                      </wp:positionV>
                      <wp:extent cx="562242" cy="5572125"/>
                      <wp:effectExtent l="85725" t="9525" r="76200" b="95250"/>
                      <wp:wrapNone/>
                      <wp:docPr id="3" name="Nawias klamrowy otwierający 2"/>
                      <wp:cNvGraphicFramePr/>
                      <a:graphic xmlns:a="http://schemas.openxmlformats.org/drawingml/2006/main">
                        <a:graphicData uri="http://schemas.microsoft.com/office/word/2010/wordprocessingShape">
                          <wps:wsp>
                            <wps:cNvSpPr/>
                            <wps:spPr>
                              <a:xfrm rot="16200000">
                                <a:off x="0" y="0"/>
                                <a:ext cx="562242" cy="557212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4BA07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awias klamrowy otwierający 2" o:spid="_x0000_s1026" type="#_x0000_t87" style="position:absolute;margin-left:199.25pt;margin-top:-201.9pt;width:44.25pt;height:438.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" adj="182" strokecolor="black [3200]" strokeweight="1.5pt">
                      <v:stroke joinstyle="miter"/>
                    </v:shape>
                  </w:pict>
                </mc:Fallback>
              </mc:AlternateContent>
            </w:r>
          </w:p>
          <w:p w:rsidR="00203F66" w:rsidRPr="000402DC" w:rsidRDefault="00203F66" w:rsidP="008271EA">
            <w:pPr>
              <w:pStyle w:val="ListParagraph"/>
              <w:spacing w:before="120" w:after="120"/>
              <w:ind w:left="0"/>
              <w:contextualSpacing w:val="0"/>
              <w:jc w:val="both"/>
              <w:rPr>
                <w:b/>
              </w:rPr>
            </w:pPr>
          </w:p>
        </w:tc>
      </w:tr>
      <w:tr w:rsidR="00203F66" w:rsidRPr="000402DC" w:rsidTr="00203F66">
        <w:tc>
          <w:tcPr>
            <w:tcW w:w="9498" w:type="dxa"/>
            <w:gridSpan w:val="2"/>
          </w:tcPr>
          <w:p w:rsidR="00203F66" w:rsidRPr="00203F66" w:rsidRDefault="00203F66" w:rsidP="00203F66">
            <w:pPr>
              <w:pStyle w:val="ListParagraph"/>
              <w:spacing w:before="120" w:after="120"/>
              <w:ind w:left="0"/>
              <w:contextualSpacing w:val="0"/>
              <w:jc w:val="center"/>
              <w:rPr>
                <w:rFonts w:ascii="Times New Roman" w:hAnsi="Times New Roman" w:cs="Times New Roman"/>
                <w:b/>
              </w:rPr>
            </w:pPr>
            <w:r w:rsidRPr="00203F66">
              <w:rPr>
                <w:rFonts w:ascii="Times New Roman" w:hAnsi="Times New Roman" w:cs="Times New Roman"/>
                <w:b/>
              </w:rPr>
              <w:t>NIJE DRŽAVNA POTPORA</w:t>
            </w:r>
          </w:p>
        </w:tc>
      </w:tr>
    </w:tbl>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Pr="00203F66" w:rsidRDefault="00203F66" w:rsidP="00203F66">
      <w:pPr>
        <w:spacing w:before="120" w:after="120" w:line="276" w:lineRule="auto"/>
        <w:jc w:val="both"/>
        <w:rPr>
          <w:rFonts w:ascii="Times New Roman" w:eastAsia="Calibri" w:hAnsi="Times New Roman" w:cs="Times New Roman"/>
          <w:b/>
          <w:sz w:val="24"/>
        </w:rPr>
      </w:pPr>
      <w:r w:rsidRPr="00203F66">
        <w:rPr>
          <w:rFonts w:ascii="Times New Roman" w:eastAsia="Calibri" w:hAnsi="Times New Roman" w:cs="Times New Roman"/>
          <w:b/>
          <w:sz w:val="24"/>
        </w:rPr>
        <w:t>Znanstvene organizacija – tipa 2</w:t>
      </w:r>
    </w:p>
    <w:tbl>
      <w:tblPr>
        <w:tblStyle w:val="TableGrid"/>
        <w:tblW w:w="9498" w:type="dxa"/>
        <w:tblInd w:w="-147" w:type="dxa"/>
        <w:tblLook w:val="04A0" w:firstRow="1" w:lastRow="0" w:firstColumn="1" w:lastColumn="0" w:noHBand="0" w:noVBand="1"/>
      </w:tblPr>
      <w:tblGrid>
        <w:gridCol w:w="6060"/>
        <w:gridCol w:w="137"/>
        <w:gridCol w:w="3301"/>
      </w:tblGrid>
      <w:tr w:rsidR="00203F66" w:rsidRPr="000402DC" w:rsidTr="00203F66">
        <w:tc>
          <w:tcPr>
            <w:tcW w:w="9498" w:type="dxa"/>
            <w:gridSpan w:val="3"/>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materijal, oprema, radna snaga i fiksni kapital</w:t>
            </w:r>
          </w:p>
        </w:tc>
      </w:tr>
      <w:tr w:rsidR="00203F66" w:rsidRPr="000402DC" w:rsidTr="00203F66">
        <w:tc>
          <w:tcPr>
            <w:tcW w:w="6197"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60%</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w:t>NEEKONOMSKE DJELATNOSTI</w:t>
            </w:r>
          </w:p>
        </w:tc>
        <w:tc>
          <w:tcPr>
            <w:tcW w:w="3301" w:type="dxa"/>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40%</w:t>
            </w:r>
          </w:p>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Ekonomska djelatnost</w:t>
            </w:r>
          </w:p>
        </w:tc>
      </w:tr>
      <w:tr w:rsidR="00203F66" w:rsidRPr="000402DC" w:rsidTr="00203F66">
        <w:tc>
          <w:tcPr>
            <w:tcW w:w="9498" w:type="dxa"/>
            <w:gridSpan w:val="3"/>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mc:AlternateContent>
                <mc:Choice Requires="wps">
                  <w:drawing>
                    <wp:anchor distT="0" distB="0" distL="114300" distR="114300" simplePos="0" relativeHeight="251666432" behindDoc="0" locked="0" layoutInCell="1" allowOverlap="1" wp14:anchorId="69C5F1C2" wp14:editId="09A5E880">
                      <wp:simplePos x="0" y="0"/>
                      <wp:positionH relativeFrom="column">
                        <wp:posOffset>5354043</wp:posOffset>
                      </wp:positionH>
                      <wp:positionV relativeFrom="paragraph">
                        <wp:posOffset>-316009</wp:posOffset>
                      </wp:positionV>
                      <wp:extent cx="250167" cy="1190445"/>
                      <wp:effectExtent l="19050" t="0" r="17145" b="29210"/>
                      <wp:wrapNone/>
                      <wp:docPr id="5" name="Strzałka w dół 4"/>
                      <wp:cNvGraphicFramePr/>
                      <a:graphic xmlns:a="http://schemas.openxmlformats.org/drawingml/2006/main">
                        <a:graphicData uri="http://schemas.microsoft.com/office/word/2010/wordprocessingShape">
                          <wps:wsp>
                            <wps:cNvSpPr/>
                            <wps:spPr>
                              <a:xfrm>
                                <a:off x="0" y="0"/>
                                <a:ext cx="250167" cy="11904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DE24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 o:spid="_x0000_s1026" type="#_x0000_t67" style="position:absolute;margin-left:421.6pt;margin-top:-24.9pt;width:19.7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" adj="19330" fillcolor="#4f81bd" strokecolor="#385d8a" strokeweight="2pt"/>
                  </w:pict>
                </mc:Fallback>
              </mc:AlternateContent>
            </w:r>
            <w:r w:rsidRPr="00203F66">
              <w:rPr>
                <w:rFonts w:ascii="Times New Roman" w:hAnsi="Times New Roman" w:cs="Times New Roman"/>
                <w:b/>
                <w:noProof/>
                <w:color w:val="C00000"/>
                <w:lang w:eastAsia="hr-HR"/>
              </w:rPr>
              <mc:AlternateContent>
                <mc:Choice Requires="wps">
                  <w:drawing>
                    <wp:anchor distT="0" distB="0" distL="114300" distR="114300" simplePos="0" relativeHeight="251665408" behindDoc="0" locked="0" layoutInCell="1" allowOverlap="1" wp14:anchorId="34508075" wp14:editId="0F5CCB45">
                      <wp:simplePos x="0" y="0"/>
                      <wp:positionH relativeFrom="column">
                        <wp:posOffset>1328102</wp:posOffset>
                      </wp:positionH>
                      <wp:positionV relativeFrom="paragraph">
                        <wp:posOffset>-1544637</wp:posOffset>
                      </wp:positionV>
                      <wp:extent cx="561975" cy="3559810"/>
                      <wp:effectExtent l="82233" t="13017" r="72707" b="91758"/>
                      <wp:wrapNone/>
                      <wp:docPr id="6" name="Nawias klamrowy otwierający 5"/>
                      <wp:cNvGraphicFramePr/>
                      <a:graphic xmlns:a="http://schemas.openxmlformats.org/drawingml/2006/main">
                        <a:graphicData uri="http://schemas.microsoft.com/office/word/2010/wordprocessingShape">
                          <wps:wsp>
                            <wps:cNvSpPr/>
                            <wps:spPr>
                              <a:xfrm rot="16200000">
                                <a:off x="0" y="0"/>
                                <a:ext cx="561975" cy="3559810"/>
                              </a:xfrm>
                              <a:prstGeom prst="leftBrace">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CB5F67" id="Nawias klamrowy otwierający 5" o:spid="_x0000_s1026" type="#_x0000_t87" style="position:absolute;margin-left:104.55pt;margin-top:-121.6pt;width:44.25pt;height:280.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" adj="284" strokecolor="black [3200]" strokeweight="1.5pt">
                      <v:stroke joinstyle="miter"/>
                    </v:shape>
                  </w:pict>
                </mc:Fallback>
              </mc:AlternateConten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p>
        </w:tc>
      </w:tr>
      <w:tr w:rsidR="00203F66" w:rsidRPr="000402DC" w:rsidTr="00203F66">
        <w:trPr>
          <w:trHeight w:val="1252"/>
        </w:trPr>
        <w:tc>
          <w:tcPr>
            <w:tcW w:w="6060" w:type="dxa"/>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NIJE DRŽAVNA POTPORA</w:t>
            </w:r>
          </w:p>
        </w:tc>
        <w:tc>
          <w:tcPr>
            <w:tcW w:w="3438"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DRŽAVNA POTPORA</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 xml:space="preserve">(NE FINACIRA </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SE OVIM POZIVOM)</w:t>
            </w:r>
          </w:p>
        </w:tc>
      </w:tr>
    </w:tbl>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w:t>
      </w:r>
      <w:r w:rsidR="00B256F0" w:rsidRPr="00B256F0">
        <w:rPr>
          <w:rFonts w:ascii="Times New Roman" w:hAnsi="Times New Roman" w:cs="Times New Roman"/>
          <w:bCs/>
          <w:color w:val="000000"/>
          <w:sz w:val="24"/>
          <w:szCs w:val="24"/>
        </w:rPr>
        <w:t xml:space="preserve">Prilikom prijave </w:t>
      </w:r>
      <w:r>
        <w:rPr>
          <w:rFonts w:ascii="Times New Roman" w:hAnsi="Times New Roman" w:cs="Times New Roman"/>
          <w:bCs/>
          <w:color w:val="000000"/>
          <w:sz w:val="24"/>
          <w:szCs w:val="24"/>
        </w:rPr>
        <w:t>prijavitelj u svojoj Izjavi  (Obrazac 3.) navodi</w:t>
      </w:r>
      <w:r w:rsidR="005F02BB">
        <w:rPr>
          <w:rFonts w:ascii="Times New Roman" w:hAnsi="Times New Roman" w:cs="Times New Roman"/>
          <w:bCs/>
          <w:color w:val="000000"/>
          <w:sz w:val="24"/>
          <w:szCs w:val="24"/>
        </w:rPr>
        <w:t xml:space="preserve"> da će poštivati uv</w:t>
      </w:r>
      <w:bookmarkStart w:id="0" w:name="_GoBack"/>
      <w:bookmarkEnd w:id="0"/>
      <w:r w:rsidR="00B256F0" w:rsidRPr="00B256F0">
        <w:rPr>
          <w:rFonts w:ascii="Times New Roman" w:hAnsi="Times New Roman" w:cs="Times New Roman"/>
          <w:bCs/>
          <w:color w:val="000000"/>
          <w:sz w:val="24"/>
          <w:szCs w:val="24"/>
        </w:rPr>
        <w:t>jete iz ovih Smjernica kako slijedi: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da će sredstva dobivena temeljem ovog Poziva biti korištena isključivo za neekonomske djelatnosti prijavitelja uključujući i pravila iz točke 11. koja se odnose na pomoćne ekonomske djelatnosti,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 xml:space="preserve">da su sredstava namijenjena financiranju primarnih djelatnosti ZO ili za aktivnosti prijenosa znanja i tehnologija (vidi točku 7.), </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u slučaju bavljenja i ekonomskim i neekonomskim djelatnostima, odvojeno voditi dvije vrste djelatnosti, njihove troškove, financiranje i prihode nakon završetka projekta do roka za amortizaciju nabavljene opreme, kako bi se djelotvorno izbjeglo unakrsno subvencioniranje ekonomske djelatnosti,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 xml:space="preserve">da će dostavljati </w:t>
      </w:r>
      <w:r w:rsidRPr="00203F66">
        <w:rPr>
          <w:rFonts w:ascii="Times New Roman" w:hAnsi="Times New Roman" w:cs="Times New Roman"/>
          <w:b/>
          <w:bCs/>
          <w:color w:val="000000"/>
          <w:sz w:val="24"/>
          <w:szCs w:val="24"/>
        </w:rPr>
        <w:t>godišnje Izvješće o korištenju kapaciteta</w:t>
      </w:r>
      <w:r w:rsidRPr="00203F66">
        <w:rPr>
          <w:rFonts w:ascii="Times New Roman" w:hAnsi="Times New Roman" w:cs="Times New Roman"/>
          <w:bCs/>
          <w:color w:val="000000"/>
          <w:sz w:val="24"/>
          <w:szCs w:val="24"/>
        </w:rPr>
        <w:t xml:space="preserve"> (dalje: Izvješće) prema uputama iz točke 16. ovih Smjernica.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203F66" w:rsidRDefault="00B256F0" w:rsidP="00B256F0">
      <w:pPr>
        <w:spacing w:before="120" w:after="120" w:line="276" w:lineRule="auto"/>
        <w:contextualSpacing/>
        <w:jc w:val="both"/>
        <w:rPr>
          <w:rFonts w:ascii="Times New Roman" w:hAnsi="Times New Roman" w:cs="Times New Roman"/>
          <w:b/>
          <w:bCs/>
          <w:color w:val="000000"/>
          <w:sz w:val="24"/>
          <w:szCs w:val="24"/>
        </w:rPr>
      </w:pPr>
      <w:r w:rsidRPr="00203F66">
        <w:rPr>
          <w:rFonts w:ascii="Times New Roman" w:hAnsi="Times New Roman" w:cs="Times New Roman"/>
          <w:b/>
          <w:bCs/>
          <w:color w:val="000000"/>
          <w:sz w:val="24"/>
          <w:szCs w:val="24"/>
        </w:rPr>
        <w:t>Kontrola i povrati</w:t>
      </w:r>
    </w:p>
    <w:p w:rsidR="00203F66" w:rsidRDefault="00203F66"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16. </w:t>
      </w:r>
      <w:r w:rsidR="00B256F0" w:rsidRPr="00B256F0">
        <w:rPr>
          <w:rFonts w:ascii="Times New Roman" w:hAnsi="Times New Roman" w:cs="Times New Roman"/>
          <w:bCs/>
          <w:color w:val="000000"/>
          <w:sz w:val="24"/>
          <w:szCs w:val="24"/>
        </w:rPr>
        <w:t>Navedeni uvjeti o financiranju neekonomskih djelatnosti znanstvenih organizacija podložni su kontroli. Kontrola podrazumijeva pregled Izvješća o korištenju kapaciteta (Izvješća) u razdoblju nakon završetka provedbe projekta do isteka roka za amortizaciju novonabavljene opreme.</w:t>
      </w:r>
    </w:p>
    <w:p w:rsidR="00203F66"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Korisnik će u godišnjem Izvješću </w:t>
      </w:r>
      <w:r w:rsidRPr="00203F66">
        <w:rPr>
          <w:rFonts w:ascii="Times New Roman" w:hAnsi="Times New Roman" w:cs="Times New Roman"/>
          <w:bCs/>
          <w:color w:val="000000"/>
          <w:sz w:val="24"/>
          <w:szCs w:val="24"/>
          <w:u w:val="single"/>
        </w:rPr>
        <w:t>morati</w:t>
      </w:r>
      <w:r w:rsidRPr="00B256F0">
        <w:rPr>
          <w:rFonts w:ascii="Times New Roman" w:hAnsi="Times New Roman" w:cs="Times New Roman"/>
          <w:bCs/>
          <w:color w:val="000000"/>
          <w:sz w:val="24"/>
          <w:szCs w:val="24"/>
        </w:rPr>
        <w:t xml:space="preserve"> opisati koliko je radnih sati predmetnog subjekta opremljenog u okviru projekta (npr. laboratorija, centra, ustrojstvene jedinice) u vidu korištenja znanstveno-istraživačke opreme, utrošeno na neekonomske i </w:t>
      </w:r>
      <w:r w:rsidR="00203F66">
        <w:rPr>
          <w:rFonts w:ascii="Times New Roman" w:hAnsi="Times New Roman" w:cs="Times New Roman"/>
          <w:bCs/>
          <w:color w:val="000000"/>
          <w:sz w:val="24"/>
          <w:szCs w:val="24"/>
        </w:rPr>
        <w:t xml:space="preserve">pomoćne ekonomske djelatnosti.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Uz Izvješće korisnik će morati dostaviti očevidnik korištenja predmetnog subjekta na kojem će biti iskazan broj radnih sati koji se na godišnjoj razini koriste za neekonomske i pomoćne ekonomske djelatnosti. U slučaju da se projektom opremi više subjekata Izvješće će obuhvatiti sve jedinice, a priloženi će biti očevidnici za svaku jedinicu posebno.</w:t>
      </w:r>
    </w:p>
    <w:p w:rsidR="00B256F0" w:rsidRPr="00872734"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Izvještajno razdoblje počinje teći danom kad završi provedba projekta i traje do isteka roka za </w:t>
      </w:r>
      <w:r w:rsidRPr="00872734">
        <w:rPr>
          <w:rFonts w:ascii="Times New Roman" w:hAnsi="Times New Roman" w:cs="Times New Roman"/>
          <w:bCs/>
          <w:color w:val="000000"/>
          <w:sz w:val="24"/>
          <w:szCs w:val="24"/>
        </w:rPr>
        <w:t>amo</w:t>
      </w:r>
      <w:r w:rsidR="00203F66" w:rsidRPr="00872734">
        <w:rPr>
          <w:rFonts w:ascii="Times New Roman" w:hAnsi="Times New Roman" w:cs="Times New Roman"/>
          <w:bCs/>
          <w:color w:val="000000"/>
          <w:sz w:val="24"/>
          <w:szCs w:val="24"/>
        </w:rPr>
        <w:t>rtizaciju novonabavljene opreme</w:t>
      </w:r>
      <w:r w:rsidRPr="00872734">
        <w:rPr>
          <w:rFonts w:ascii="Times New Roman" w:hAnsi="Times New Roman" w:cs="Times New Roman"/>
          <w:bCs/>
          <w:color w:val="000000"/>
          <w:sz w:val="24"/>
          <w:szCs w:val="24"/>
        </w:rPr>
        <w:t xml:space="preserve">. </w:t>
      </w:r>
    </w:p>
    <w:p w:rsidR="00B256F0" w:rsidRPr="00872734" w:rsidRDefault="00B256F0" w:rsidP="00B256F0">
      <w:pPr>
        <w:spacing w:before="120" w:after="120" w:line="276" w:lineRule="auto"/>
        <w:contextualSpacing/>
        <w:jc w:val="both"/>
        <w:rPr>
          <w:rFonts w:ascii="Times New Roman" w:hAnsi="Times New Roman" w:cs="Times New Roman"/>
          <w:bCs/>
          <w:color w:val="000000"/>
          <w:sz w:val="24"/>
          <w:szCs w:val="24"/>
        </w:rPr>
      </w:pPr>
      <w:r w:rsidRPr="00872734">
        <w:rPr>
          <w:rFonts w:ascii="Times New Roman" w:hAnsi="Times New Roman" w:cs="Times New Roman"/>
          <w:bCs/>
          <w:color w:val="000000"/>
          <w:sz w:val="24"/>
          <w:szCs w:val="24"/>
        </w:rPr>
        <w:t xml:space="preserve">Izvješće se dostavlja jednom godišnje nakon završetka provedbe projekta </w:t>
      </w:r>
      <w:r w:rsidR="00872734" w:rsidRPr="00872734">
        <w:rPr>
          <w:rFonts w:ascii="Times New Roman" w:hAnsi="Times New Roman" w:cs="Times New Roman"/>
          <w:bCs/>
          <w:color w:val="000000"/>
          <w:sz w:val="24"/>
          <w:szCs w:val="24"/>
        </w:rPr>
        <w:t>PT-u</w:t>
      </w:r>
      <w:r w:rsidRPr="00872734">
        <w:rPr>
          <w:rFonts w:ascii="Times New Roman" w:hAnsi="Times New Roman" w:cs="Times New Roman"/>
          <w:bCs/>
          <w:color w:val="000000"/>
          <w:sz w:val="24"/>
          <w:szCs w:val="24"/>
        </w:rPr>
        <w:t xml:space="preserve">, te isto dostavlja i </w:t>
      </w:r>
      <w:r w:rsidR="00872734" w:rsidRPr="00872734">
        <w:rPr>
          <w:rFonts w:ascii="Times New Roman" w:hAnsi="Times New Roman" w:cs="Times New Roman"/>
          <w:bCs/>
          <w:color w:val="000000"/>
          <w:sz w:val="24"/>
          <w:szCs w:val="24"/>
        </w:rPr>
        <w:t>NT-u</w:t>
      </w:r>
      <w:r w:rsidRPr="00872734">
        <w:rPr>
          <w:rFonts w:ascii="Times New Roman" w:hAnsi="Times New Roman" w:cs="Times New Roman"/>
          <w:bCs/>
          <w:color w:val="000000"/>
          <w:sz w:val="24"/>
          <w:szCs w:val="24"/>
        </w:rPr>
        <w:t xml:space="preserve"> na znanje.</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872734">
        <w:rPr>
          <w:rFonts w:ascii="Times New Roman" w:hAnsi="Times New Roman" w:cs="Times New Roman"/>
          <w:bCs/>
          <w:color w:val="000000"/>
          <w:sz w:val="24"/>
          <w:szCs w:val="24"/>
        </w:rPr>
        <w:t>U slučaju da se prijavitelji bave i ekonomskim i neekonomskim djelatnostima, moraju odvojeno</w:t>
      </w:r>
      <w:r w:rsidRPr="00B256F0">
        <w:rPr>
          <w:rFonts w:ascii="Times New Roman" w:hAnsi="Times New Roman" w:cs="Times New Roman"/>
          <w:bCs/>
          <w:color w:val="000000"/>
          <w:sz w:val="24"/>
          <w:szCs w:val="24"/>
        </w:rPr>
        <w:t xml:space="preserve"> voditi dvije vrste djelatnosti, njihove troškove, financiranje i prihode, a prijavitelj dostavlja g</w:t>
      </w:r>
      <w:r w:rsidR="00872734">
        <w:rPr>
          <w:rFonts w:ascii="Times New Roman" w:hAnsi="Times New Roman" w:cs="Times New Roman"/>
          <w:bCs/>
          <w:color w:val="000000"/>
          <w:sz w:val="24"/>
          <w:szCs w:val="24"/>
        </w:rPr>
        <w:t xml:space="preserve">odišnje financijske izvještaje </w:t>
      </w:r>
      <w:r w:rsidRPr="00B256F0">
        <w:rPr>
          <w:rFonts w:ascii="Times New Roman" w:hAnsi="Times New Roman" w:cs="Times New Roman"/>
          <w:bCs/>
          <w:color w:val="000000"/>
          <w:sz w:val="24"/>
          <w:szCs w:val="24"/>
        </w:rPr>
        <w:t xml:space="preserve">uz Izvješća i u istom roku.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872734"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17. </w:t>
      </w:r>
      <w:r w:rsidR="00B256F0" w:rsidRPr="00B256F0">
        <w:rPr>
          <w:rFonts w:ascii="Times New Roman" w:hAnsi="Times New Roman" w:cs="Times New Roman"/>
          <w:bCs/>
          <w:color w:val="000000"/>
          <w:sz w:val="24"/>
          <w:szCs w:val="24"/>
        </w:rPr>
        <w:t xml:space="preserve">Ukoliko dođe do toga da korisnik više od 20% kapaciteta predmetnog subjekta (npr. laboratorija, centra, ustrojstvene jedinice) godišnje iskoristi za ekonomske aktivnosti, mora doći do povrata dijela sredstava u iznosu koji je sukladan omjeru tih ekonomskih aktivnosti.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 slučaju da je znanstvena organizacija kroz više ugovora u okviru ovog Poziva opremila isti subjekt napominjemo da će se i u tom slučaju gledati ukupni kapacitet subjekta, i da ne smije premašiti 20% kapaciteta za ekonomske djelatnosti kako ne bi došlo do povrata sredstava.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 slučaju da je projektnom opremljeno više subjekata, prekoračenjem korištenja kapaciteta za ekonomske djelatnosti na samo jednom aktivira se mehanizam povrata za taj subjekt.</w:t>
      </w:r>
    </w:p>
    <w:p w:rsidR="00872734" w:rsidRPr="00B256F0" w:rsidRDefault="00872734"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E33D2"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sidR="00872734">
        <w:rPr>
          <w:rFonts w:ascii="Times New Roman" w:hAnsi="Times New Roman" w:cs="Times New Roman"/>
          <w:bCs/>
          <w:color w:val="000000"/>
          <w:sz w:val="24"/>
          <w:szCs w:val="24"/>
        </w:rPr>
        <w:t xml:space="preserve">. </w:t>
      </w:r>
      <w:r w:rsidR="00B256F0" w:rsidRPr="00B256F0">
        <w:rPr>
          <w:rFonts w:ascii="Times New Roman" w:hAnsi="Times New Roman" w:cs="Times New Roman"/>
          <w:bCs/>
          <w:color w:val="000000"/>
          <w:sz w:val="24"/>
          <w:szCs w:val="24"/>
        </w:rPr>
        <w:t xml:space="preserve">Nepoštivanja pravila o državnim potporama tijekom i nakon provedbe projekta dovodi do materijalne i kaznene odgovornosti korisnika te će biti razlogom postupanja nadležnih tijela.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sectPr w:rsidR="00B256F0" w:rsidRPr="00B256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D7" w:rsidRDefault="002544D7" w:rsidP="00D1278B">
      <w:pPr>
        <w:spacing w:after="0" w:line="240" w:lineRule="auto"/>
      </w:pPr>
      <w:r>
        <w:separator/>
      </w:r>
    </w:p>
  </w:endnote>
  <w:endnote w:type="continuationSeparator" w:id="0">
    <w:p w:rsidR="002544D7" w:rsidRDefault="002544D7"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5F02BB">
              <w:rPr>
                <w:rFonts w:ascii="Times New Roman" w:hAnsi="Times New Roman" w:cs="Times New Roman"/>
                <w:bCs/>
                <w:noProof/>
                <w:sz w:val="18"/>
                <w:szCs w:val="18"/>
              </w:rPr>
              <w:t>7</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5F02BB">
              <w:rPr>
                <w:rFonts w:ascii="Times New Roman" w:hAnsi="Times New Roman" w:cs="Times New Roman"/>
                <w:bCs/>
                <w:noProof/>
                <w:sz w:val="18"/>
                <w:szCs w:val="18"/>
              </w:rPr>
              <w:t>7</w:t>
            </w:r>
            <w:r w:rsidRPr="00BD3AB9">
              <w:rPr>
                <w:rFonts w:ascii="Times New Roman" w:hAnsi="Times New Roman" w:cs="Times New Roman"/>
                <w:bCs/>
                <w:sz w:val="18"/>
                <w:szCs w:val="18"/>
              </w:rPr>
              <w:fldChar w:fldCharType="end"/>
            </w:r>
          </w:p>
        </w:sdtContent>
      </w:sdt>
    </w:sdtContent>
  </w:sdt>
  <w:p w:rsidR="0040636B" w:rsidRDefault="0040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D7" w:rsidRDefault="002544D7" w:rsidP="00D1278B">
      <w:pPr>
        <w:spacing w:after="0" w:line="240" w:lineRule="auto"/>
      </w:pPr>
      <w:r>
        <w:separator/>
      </w:r>
    </w:p>
  </w:footnote>
  <w:footnote w:type="continuationSeparator" w:id="0">
    <w:p w:rsidR="002544D7" w:rsidRDefault="002544D7" w:rsidP="00D1278B">
      <w:pPr>
        <w:spacing w:after="0" w:line="240" w:lineRule="auto"/>
      </w:pPr>
      <w:r>
        <w:continuationSeparator/>
      </w:r>
    </w:p>
  </w:footnote>
  <w:footnote w:id="1">
    <w:p w:rsidR="00B256F0" w:rsidRPr="00B256F0" w:rsidRDefault="00B256F0" w:rsidP="00F61B89">
      <w:pPr>
        <w:pStyle w:val="FootnoteText"/>
        <w:spacing w:after="0" w:line="240" w:lineRule="auto"/>
        <w:rPr>
          <w:color w:val="0563C1" w:themeColor="hyperlink"/>
          <w:sz w:val="16"/>
          <w:szCs w:val="16"/>
          <w:u w:val="single"/>
        </w:rPr>
      </w:pPr>
      <w:r>
        <w:rPr>
          <w:rStyle w:val="FootnoteReference"/>
        </w:rPr>
        <w:footnoteRef/>
      </w:r>
      <w:r>
        <w:t xml:space="preserve"> </w:t>
      </w:r>
      <w:hyperlink r:id="rId1" w:history="1">
        <w:r w:rsidR="00F61B89" w:rsidRPr="000C0AD9">
          <w:rPr>
            <w:rStyle w:val="Hyperlink"/>
            <w:sz w:val="16"/>
            <w:szCs w:val="16"/>
          </w:rPr>
          <w:t>https://eur-lex.europa.eu/legal-content/HR/TXT/PDF/?uri=CELEX:52022XC1028(03)&amp;from=EN</w:t>
        </w:r>
      </w:hyperlink>
      <w:r w:rsidR="00F61B89">
        <w:rPr>
          <w:sz w:val="16"/>
          <w:szCs w:val="16"/>
        </w:rPr>
        <w:t xml:space="preserve"> </w:t>
      </w:r>
    </w:p>
  </w:footnote>
  <w:footnote w:id="2">
    <w:p w:rsidR="00B256F0" w:rsidRDefault="00B256F0" w:rsidP="00B256F0">
      <w:pPr>
        <w:pStyle w:val="FootnoteText"/>
        <w:jc w:val="both"/>
      </w:pPr>
      <w:r>
        <w:rPr>
          <w:rStyle w:val="FootnoteReference"/>
        </w:rPr>
        <w:footnoteRef/>
      </w:r>
      <w:r>
        <w:t xml:space="preserve"> </w:t>
      </w:r>
      <w:r w:rsidRPr="00524420">
        <w:rPr>
          <w:sz w:val="16"/>
          <w:szCs w:val="16"/>
        </w:rPr>
        <w:t>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616"/>
    <w:multiLevelType w:val="hybridMultilevel"/>
    <w:tmpl w:val="72E41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0FF73C84"/>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7388A"/>
    <w:multiLevelType w:val="hybridMultilevel"/>
    <w:tmpl w:val="D8583322"/>
    <w:lvl w:ilvl="0" w:tplc="3E0A4FF4">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30621"/>
    <w:multiLevelType w:val="hybridMultilevel"/>
    <w:tmpl w:val="3D649E6C"/>
    <w:lvl w:ilvl="0" w:tplc="CB5CFDC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5962CA"/>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8"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B07D0"/>
    <w:multiLevelType w:val="hybridMultilevel"/>
    <w:tmpl w:val="C9F8D8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303DDA"/>
    <w:multiLevelType w:val="hybridMultilevel"/>
    <w:tmpl w:val="2EE21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5D7DB1"/>
    <w:multiLevelType w:val="hybridMultilevel"/>
    <w:tmpl w:val="936AB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865971"/>
    <w:multiLevelType w:val="hybridMultilevel"/>
    <w:tmpl w:val="75EA2A96"/>
    <w:lvl w:ilvl="0" w:tplc="79BA610C">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6550A"/>
    <w:multiLevelType w:val="hybridMultilevel"/>
    <w:tmpl w:val="A066EBCE"/>
    <w:lvl w:ilvl="0" w:tplc="721E50C8">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C2919"/>
    <w:multiLevelType w:val="hybridMultilevel"/>
    <w:tmpl w:val="C20E0A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8A6FFC"/>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D9367BB"/>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9" w15:restartNumberingAfterBreak="0">
    <w:nsid w:val="3E9A6C6C"/>
    <w:multiLevelType w:val="hybridMultilevel"/>
    <w:tmpl w:val="53E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B45207"/>
    <w:multiLevelType w:val="hybridMultilevel"/>
    <w:tmpl w:val="6A92058C"/>
    <w:lvl w:ilvl="0" w:tplc="0748C1E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3E60D08"/>
    <w:multiLevelType w:val="hybridMultilevel"/>
    <w:tmpl w:val="4C5CF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7ECE"/>
    <w:multiLevelType w:val="hybridMultilevel"/>
    <w:tmpl w:val="14FA0E4C"/>
    <w:lvl w:ilvl="0" w:tplc="0FBE5AB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9020E"/>
    <w:multiLevelType w:val="hybridMultilevel"/>
    <w:tmpl w:val="17487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E24BBB"/>
    <w:multiLevelType w:val="hybridMultilevel"/>
    <w:tmpl w:val="6EC4CF6C"/>
    <w:lvl w:ilvl="0" w:tplc="05E8E3EA">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DA0C8D"/>
    <w:multiLevelType w:val="hybridMultilevel"/>
    <w:tmpl w:val="E04A0A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E5598"/>
    <w:multiLevelType w:val="hybridMultilevel"/>
    <w:tmpl w:val="D0BC6F2E"/>
    <w:lvl w:ilvl="0" w:tplc="E96EDAF6">
      <w:start w:val="1"/>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53CE2"/>
    <w:multiLevelType w:val="hybridMultilevel"/>
    <w:tmpl w:val="DCE4A5B2"/>
    <w:lvl w:ilvl="0" w:tplc="787CAC9E">
      <w:start w:val="1"/>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30671F"/>
    <w:multiLevelType w:val="hybridMultilevel"/>
    <w:tmpl w:val="DDB4E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7E16E3"/>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5" w15:restartNumberingAfterBreak="0">
    <w:nsid w:val="743E35D9"/>
    <w:multiLevelType w:val="hybridMultilevel"/>
    <w:tmpl w:val="281AF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281BD9"/>
    <w:multiLevelType w:val="hybridMultilevel"/>
    <w:tmpl w:val="251ABB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2667A9"/>
    <w:multiLevelType w:val="hybridMultilevel"/>
    <w:tmpl w:val="407A185C"/>
    <w:lvl w:ilvl="0" w:tplc="5F68A298">
      <w:start w:val="7"/>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0"/>
  </w:num>
  <w:num w:numId="4">
    <w:abstractNumId w:val="0"/>
  </w:num>
  <w:num w:numId="5">
    <w:abstractNumId w:val="31"/>
  </w:num>
  <w:num w:numId="6">
    <w:abstractNumId w:val="23"/>
  </w:num>
  <w:num w:numId="7">
    <w:abstractNumId w:val="28"/>
  </w:num>
  <w:num w:numId="8">
    <w:abstractNumId w:val="22"/>
  </w:num>
  <w:num w:numId="9">
    <w:abstractNumId w:val="17"/>
  </w:num>
  <w:num w:numId="10">
    <w:abstractNumId w:val="7"/>
  </w:num>
  <w:num w:numId="11">
    <w:abstractNumId w:val="4"/>
  </w:num>
  <w:num w:numId="12">
    <w:abstractNumId w:val="18"/>
  </w:num>
  <w:num w:numId="13">
    <w:abstractNumId w:val="34"/>
  </w:num>
  <w:num w:numId="14">
    <w:abstractNumId w:val="25"/>
  </w:num>
  <w:num w:numId="15">
    <w:abstractNumId w:val="2"/>
  </w:num>
  <w:num w:numId="16">
    <w:abstractNumId w:val="3"/>
  </w:num>
  <w:num w:numId="17">
    <w:abstractNumId w:val="1"/>
  </w:num>
  <w:num w:numId="18">
    <w:abstractNumId w:val="16"/>
  </w:num>
  <w:num w:numId="19">
    <w:abstractNumId w:val="33"/>
  </w:num>
  <w:num w:numId="20">
    <w:abstractNumId w:val="15"/>
  </w:num>
  <w:num w:numId="21">
    <w:abstractNumId w:val="26"/>
  </w:num>
  <w:num w:numId="22">
    <w:abstractNumId w:val="19"/>
  </w:num>
  <w:num w:numId="23">
    <w:abstractNumId w:val="10"/>
  </w:num>
  <w:num w:numId="24">
    <w:abstractNumId w:val="6"/>
  </w:num>
  <w:num w:numId="25">
    <w:abstractNumId w:val="21"/>
  </w:num>
  <w:num w:numId="26">
    <w:abstractNumId w:val="12"/>
  </w:num>
  <w:num w:numId="27">
    <w:abstractNumId w:val="11"/>
  </w:num>
  <w:num w:numId="28">
    <w:abstractNumId w:val="37"/>
  </w:num>
  <w:num w:numId="29">
    <w:abstractNumId w:val="27"/>
  </w:num>
  <w:num w:numId="30">
    <w:abstractNumId w:val="5"/>
  </w:num>
  <w:num w:numId="31">
    <w:abstractNumId w:val="24"/>
  </w:num>
  <w:num w:numId="32">
    <w:abstractNumId w:val="32"/>
  </w:num>
  <w:num w:numId="33">
    <w:abstractNumId w:val="36"/>
  </w:num>
  <w:num w:numId="34">
    <w:abstractNumId w:val="9"/>
  </w:num>
  <w:num w:numId="35">
    <w:abstractNumId w:val="14"/>
  </w:num>
  <w:num w:numId="36">
    <w:abstractNumId w:val="20"/>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0002"/>
    <w:rsid w:val="00020DA1"/>
    <w:rsid w:val="0003665F"/>
    <w:rsid w:val="000418CE"/>
    <w:rsid w:val="00046216"/>
    <w:rsid w:val="000510A6"/>
    <w:rsid w:val="00065F9A"/>
    <w:rsid w:val="0008167D"/>
    <w:rsid w:val="000841CD"/>
    <w:rsid w:val="000A0584"/>
    <w:rsid w:val="000A1941"/>
    <w:rsid w:val="000A7699"/>
    <w:rsid w:val="000B5E81"/>
    <w:rsid w:val="000B64FA"/>
    <w:rsid w:val="000C681F"/>
    <w:rsid w:val="000D2890"/>
    <w:rsid w:val="000F2569"/>
    <w:rsid w:val="000F6768"/>
    <w:rsid w:val="00106633"/>
    <w:rsid w:val="00125627"/>
    <w:rsid w:val="00144224"/>
    <w:rsid w:val="00144564"/>
    <w:rsid w:val="00151E57"/>
    <w:rsid w:val="00161A64"/>
    <w:rsid w:val="00166982"/>
    <w:rsid w:val="00181B92"/>
    <w:rsid w:val="0019245B"/>
    <w:rsid w:val="001926F0"/>
    <w:rsid w:val="001A26D6"/>
    <w:rsid w:val="001B01EB"/>
    <w:rsid w:val="001B7A0D"/>
    <w:rsid w:val="001C7A62"/>
    <w:rsid w:val="001D5921"/>
    <w:rsid w:val="001D77A0"/>
    <w:rsid w:val="001E1E3A"/>
    <w:rsid w:val="001E59AB"/>
    <w:rsid w:val="001E66C7"/>
    <w:rsid w:val="001F4965"/>
    <w:rsid w:val="00203F66"/>
    <w:rsid w:val="00205EC7"/>
    <w:rsid w:val="0022354B"/>
    <w:rsid w:val="002237C1"/>
    <w:rsid w:val="00225FD1"/>
    <w:rsid w:val="002352B2"/>
    <w:rsid w:val="00244DA7"/>
    <w:rsid w:val="00251D95"/>
    <w:rsid w:val="002544D7"/>
    <w:rsid w:val="00257385"/>
    <w:rsid w:val="00294D30"/>
    <w:rsid w:val="002A7B24"/>
    <w:rsid w:val="002B0026"/>
    <w:rsid w:val="002B2B9B"/>
    <w:rsid w:val="002C3B5F"/>
    <w:rsid w:val="002C79F9"/>
    <w:rsid w:val="002D2639"/>
    <w:rsid w:val="002D3E53"/>
    <w:rsid w:val="002D5D42"/>
    <w:rsid w:val="002D653C"/>
    <w:rsid w:val="002E0D90"/>
    <w:rsid w:val="002E33D2"/>
    <w:rsid w:val="002F2685"/>
    <w:rsid w:val="002F43C9"/>
    <w:rsid w:val="002F6E2C"/>
    <w:rsid w:val="003036E0"/>
    <w:rsid w:val="00306C43"/>
    <w:rsid w:val="00311C27"/>
    <w:rsid w:val="003402E3"/>
    <w:rsid w:val="00344EE4"/>
    <w:rsid w:val="00356E85"/>
    <w:rsid w:val="00362AF7"/>
    <w:rsid w:val="003770EF"/>
    <w:rsid w:val="00380355"/>
    <w:rsid w:val="0038195F"/>
    <w:rsid w:val="003B4273"/>
    <w:rsid w:val="003B4568"/>
    <w:rsid w:val="003C7549"/>
    <w:rsid w:val="003D23F2"/>
    <w:rsid w:val="003D4B63"/>
    <w:rsid w:val="003E558F"/>
    <w:rsid w:val="003F1366"/>
    <w:rsid w:val="003F715E"/>
    <w:rsid w:val="00405C52"/>
    <w:rsid w:val="0040636B"/>
    <w:rsid w:val="00413DCD"/>
    <w:rsid w:val="00417E59"/>
    <w:rsid w:val="00422ACC"/>
    <w:rsid w:val="0047278F"/>
    <w:rsid w:val="00475F9E"/>
    <w:rsid w:val="00483E88"/>
    <w:rsid w:val="004843DB"/>
    <w:rsid w:val="00485235"/>
    <w:rsid w:val="004A0A47"/>
    <w:rsid w:val="004A630E"/>
    <w:rsid w:val="004B2157"/>
    <w:rsid w:val="004B437C"/>
    <w:rsid w:val="004D542F"/>
    <w:rsid w:val="004E2417"/>
    <w:rsid w:val="004E39F5"/>
    <w:rsid w:val="00505451"/>
    <w:rsid w:val="00513E0A"/>
    <w:rsid w:val="005168AB"/>
    <w:rsid w:val="00526F03"/>
    <w:rsid w:val="005275DE"/>
    <w:rsid w:val="005277B0"/>
    <w:rsid w:val="00531135"/>
    <w:rsid w:val="00540E00"/>
    <w:rsid w:val="00542E00"/>
    <w:rsid w:val="00545087"/>
    <w:rsid w:val="005472E5"/>
    <w:rsid w:val="00561A31"/>
    <w:rsid w:val="0057105E"/>
    <w:rsid w:val="005720B5"/>
    <w:rsid w:val="005819B9"/>
    <w:rsid w:val="00584EE0"/>
    <w:rsid w:val="00593C31"/>
    <w:rsid w:val="005A0221"/>
    <w:rsid w:val="005A1308"/>
    <w:rsid w:val="005A2F7C"/>
    <w:rsid w:val="005B0BEB"/>
    <w:rsid w:val="005D1091"/>
    <w:rsid w:val="005E4EFD"/>
    <w:rsid w:val="005F02BB"/>
    <w:rsid w:val="005F3F5C"/>
    <w:rsid w:val="006008F5"/>
    <w:rsid w:val="00603CD5"/>
    <w:rsid w:val="00621D99"/>
    <w:rsid w:val="00631E6F"/>
    <w:rsid w:val="00641062"/>
    <w:rsid w:val="0064500D"/>
    <w:rsid w:val="006453E3"/>
    <w:rsid w:val="00654EFF"/>
    <w:rsid w:val="00657767"/>
    <w:rsid w:val="00673A48"/>
    <w:rsid w:val="006900A4"/>
    <w:rsid w:val="0069514B"/>
    <w:rsid w:val="00695F7E"/>
    <w:rsid w:val="006B119A"/>
    <w:rsid w:val="006D1011"/>
    <w:rsid w:val="006F598A"/>
    <w:rsid w:val="00700D85"/>
    <w:rsid w:val="00714090"/>
    <w:rsid w:val="007152DA"/>
    <w:rsid w:val="00782C65"/>
    <w:rsid w:val="00787D17"/>
    <w:rsid w:val="007B1357"/>
    <w:rsid w:val="007D14DF"/>
    <w:rsid w:val="007D6697"/>
    <w:rsid w:val="007E069E"/>
    <w:rsid w:val="00803537"/>
    <w:rsid w:val="00804707"/>
    <w:rsid w:val="00810A5C"/>
    <w:rsid w:val="008148B0"/>
    <w:rsid w:val="00816825"/>
    <w:rsid w:val="0082030B"/>
    <w:rsid w:val="008242B4"/>
    <w:rsid w:val="00834D99"/>
    <w:rsid w:val="00837D41"/>
    <w:rsid w:val="00843C3A"/>
    <w:rsid w:val="00845469"/>
    <w:rsid w:val="00847343"/>
    <w:rsid w:val="00847852"/>
    <w:rsid w:val="0085481E"/>
    <w:rsid w:val="008710EF"/>
    <w:rsid w:val="00872734"/>
    <w:rsid w:val="008807DD"/>
    <w:rsid w:val="00881C5F"/>
    <w:rsid w:val="00882354"/>
    <w:rsid w:val="00884FA1"/>
    <w:rsid w:val="008942C7"/>
    <w:rsid w:val="008A0327"/>
    <w:rsid w:val="008B042D"/>
    <w:rsid w:val="008B16FA"/>
    <w:rsid w:val="008B2F96"/>
    <w:rsid w:val="008B3D66"/>
    <w:rsid w:val="008B6AB2"/>
    <w:rsid w:val="008D1922"/>
    <w:rsid w:val="008E240E"/>
    <w:rsid w:val="00911E7E"/>
    <w:rsid w:val="00917A93"/>
    <w:rsid w:val="00921F32"/>
    <w:rsid w:val="009252A0"/>
    <w:rsid w:val="00925F93"/>
    <w:rsid w:val="0093055E"/>
    <w:rsid w:val="00930CC2"/>
    <w:rsid w:val="009345F6"/>
    <w:rsid w:val="00956CB7"/>
    <w:rsid w:val="0096083F"/>
    <w:rsid w:val="00965FFA"/>
    <w:rsid w:val="00966D89"/>
    <w:rsid w:val="00975144"/>
    <w:rsid w:val="0098768F"/>
    <w:rsid w:val="00994E88"/>
    <w:rsid w:val="00995861"/>
    <w:rsid w:val="009B3D41"/>
    <w:rsid w:val="009B54BF"/>
    <w:rsid w:val="009B5BFC"/>
    <w:rsid w:val="009B6BEC"/>
    <w:rsid w:val="009C3000"/>
    <w:rsid w:val="009C6654"/>
    <w:rsid w:val="009C7F3A"/>
    <w:rsid w:val="009D1E74"/>
    <w:rsid w:val="009D37CA"/>
    <w:rsid w:val="009D4A23"/>
    <w:rsid w:val="009D69C1"/>
    <w:rsid w:val="009E7807"/>
    <w:rsid w:val="00A11260"/>
    <w:rsid w:val="00A112CD"/>
    <w:rsid w:val="00A14896"/>
    <w:rsid w:val="00A223DD"/>
    <w:rsid w:val="00A37782"/>
    <w:rsid w:val="00A42D3C"/>
    <w:rsid w:val="00A5246E"/>
    <w:rsid w:val="00A5380F"/>
    <w:rsid w:val="00A65D08"/>
    <w:rsid w:val="00A83140"/>
    <w:rsid w:val="00A91030"/>
    <w:rsid w:val="00A9652A"/>
    <w:rsid w:val="00AB372E"/>
    <w:rsid w:val="00AB7818"/>
    <w:rsid w:val="00AC2377"/>
    <w:rsid w:val="00AE007F"/>
    <w:rsid w:val="00AE0918"/>
    <w:rsid w:val="00AF020A"/>
    <w:rsid w:val="00AF0B4D"/>
    <w:rsid w:val="00B07A70"/>
    <w:rsid w:val="00B21943"/>
    <w:rsid w:val="00B256F0"/>
    <w:rsid w:val="00B30D0D"/>
    <w:rsid w:val="00B32977"/>
    <w:rsid w:val="00B37776"/>
    <w:rsid w:val="00B41A95"/>
    <w:rsid w:val="00B52F67"/>
    <w:rsid w:val="00B57B2D"/>
    <w:rsid w:val="00B60A53"/>
    <w:rsid w:val="00B62AC9"/>
    <w:rsid w:val="00B644C4"/>
    <w:rsid w:val="00B659C8"/>
    <w:rsid w:val="00B66713"/>
    <w:rsid w:val="00B7165E"/>
    <w:rsid w:val="00B737DB"/>
    <w:rsid w:val="00B74737"/>
    <w:rsid w:val="00B76EB8"/>
    <w:rsid w:val="00B80FAD"/>
    <w:rsid w:val="00B82480"/>
    <w:rsid w:val="00B828FA"/>
    <w:rsid w:val="00B8768D"/>
    <w:rsid w:val="00B93D57"/>
    <w:rsid w:val="00BA2850"/>
    <w:rsid w:val="00BA2ACF"/>
    <w:rsid w:val="00BC051F"/>
    <w:rsid w:val="00BC083E"/>
    <w:rsid w:val="00BC33DC"/>
    <w:rsid w:val="00BC3996"/>
    <w:rsid w:val="00BD3AB9"/>
    <w:rsid w:val="00BE21C5"/>
    <w:rsid w:val="00C056E4"/>
    <w:rsid w:val="00C07FD8"/>
    <w:rsid w:val="00C265D0"/>
    <w:rsid w:val="00C53ABD"/>
    <w:rsid w:val="00C71C79"/>
    <w:rsid w:val="00C73C0F"/>
    <w:rsid w:val="00C8361E"/>
    <w:rsid w:val="00C863BF"/>
    <w:rsid w:val="00C91A04"/>
    <w:rsid w:val="00CA6A15"/>
    <w:rsid w:val="00CC37FB"/>
    <w:rsid w:val="00CC4598"/>
    <w:rsid w:val="00CD4F69"/>
    <w:rsid w:val="00CE1CB3"/>
    <w:rsid w:val="00CF0454"/>
    <w:rsid w:val="00CF1E21"/>
    <w:rsid w:val="00CF2365"/>
    <w:rsid w:val="00CF42AA"/>
    <w:rsid w:val="00D1234D"/>
    <w:rsid w:val="00D1278B"/>
    <w:rsid w:val="00D132BB"/>
    <w:rsid w:val="00D168B4"/>
    <w:rsid w:val="00D44BA9"/>
    <w:rsid w:val="00D4725A"/>
    <w:rsid w:val="00D5028C"/>
    <w:rsid w:val="00D52131"/>
    <w:rsid w:val="00D628DF"/>
    <w:rsid w:val="00D72E07"/>
    <w:rsid w:val="00D84FAB"/>
    <w:rsid w:val="00D863E2"/>
    <w:rsid w:val="00D90AEF"/>
    <w:rsid w:val="00D92901"/>
    <w:rsid w:val="00DA4A32"/>
    <w:rsid w:val="00DA6F81"/>
    <w:rsid w:val="00DB101E"/>
    <w:rsid w:val="00DC20F6"/>
    <w:rsid w:val="00DC2244"/>
    <w:rsid w:val="00DC7AC2"/>
    <w:rsid w:val="00DD7047"/>
    <w:rsid w:val="00DE2DF1"/>
    <w:rsid w:val="00DF7E40"/>
    <w:rsid w:val="00E0245B"/>
    <w:rsid w:val="00E02BC7"/>
    <w:rsid w:val="00E32D17"/>
    <w:rsid w:val="00E44222"/>
    <w:rsid w:val="00E504B8"/>
    <w:rsid w:val="00E73850"/>
    <w:rsid w:val="00E8010A"/>
    <w:rsid w:val="00E80238"/>
    <w:rsid w:val="00EA0C39"/>
    <w:rsid w:val="00EA6C64"/>
    <w:rsid w:val="00EB6615"/>
    <w:rsid w:val="00EE6A31"/>
    <w:rsid w:val="00EF0B63"/>
    <w:rsid w:val="00EF4280"/>
    <w:rsid w:val="00F118BD"/>
    <w:rsid w:val="00F11928"/>
    <w:rsid w:val="00F13B61"/>
    <w:rsid w:val="00F13C4C"/>
    <w:rsid w:val="00F2300A"/>
    <w:rsid w:val="00F24A1C"/>
    <w:rsid w:val="00F33325"/>
    <w:rsid w:val="00F43643"/>
    <w:rsid w:val="00F52BF5"/>
    <w:rsid w:val="00F55E80"/>
    <w:rsid w:val="00F576A2"/>
    <w:rsid w:val="00F61B89"/>
    <w:rsid w:val="00F62747"/>
    <w:rsid w:val="00F832DF"/>
    <w:rsid w:val="00F91CD9"/>
    <w:rsid w:val="00F9468F"/>
    <w:rsid w:val="00FA6723"/>
    <w:rsid w:val="00FA6D0F"/>
    <w:rsid w:val="00FA6E25"/>
    <w:rsid w:val="00FA77CB"/>
    <w:rsid w:val="00FB3BA1"/>
    <w:rsid w:val="00FC2638"/>
    <w:rsid w:val="00FC38D7"/>
    <w:rsid w:val="00FC5BB5"/>
    <w:rsid w:val="00FD1F17"/>
    <w:rsid w:val="00FE16E5"/>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aliases w:val="REPORT Bullet"/>
    <w:basedOn w:val="Normal"/>
    <w:link w:val="ListParagraphChar"/>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iPriority w:val="99"/>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customStyle="1" w:styleId="TableContents">
    <w:name w:val="Table Contents"/>
    <w:basedOn w:val="Normal"/>
    <w:uiPriority w:val="99"/>
    <w:rsid w:val="00837D4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olorfulList-Accent11">
    <w:name w:val="Colorful List - Accent 11"/>
    <w:basedOn w:val="Normal"/>
    <w:uiPriority w:val="34"/>
    <w:qFormat/>
    <w:rsid w:val="00837D41"/>
    <w:pPr>
      <w:spacing w:before="120" w:after="0" w:line="276" w:lineRule="auto"/>
      <w:ind w:left="720"/>
      <w:contextualSpacing/>
    </w:pPr>
    <w:rPr>
      <w:rFonts w:ascii="Calibri" w:eastAsia="Calibri" w:hAnsi="Calibri" w:cs="Times New Roman"/>
    </w:rPr>
  </w:style>
  <w:style w:type="paragraph" w:styleId="NoSpacing">
    <w:name w:val="No Spacing"/>
    <w:basedOn w:val="Normal"/>
    <w:uiPriority w:val="1"/>
    <w:qFormat/>
    <w:rsid w:val="0004621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4E39F5"/>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4E39F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4E39F5"/>
    <w:rPr>
      <w:vertAlign w:val="superscript"/>
    </w:rPr>
  </w:style>
  <w:style w:type="paragraph" w:customStyle="1" w:styleId="Char2">
    <w:name w:val="Char2"/>
    <w:basedOn w:val="Normal"/>
    <w:link w:val="FootnoteReference"/>
    <w:uiPriority w:val="99"/>
    <w:rsid w:val="004E39F5"/>
    <w:pPr>
      <w:spacing w:line="240" w:lineRule="exact"/>
    </w:pPr>
    <w:rPr>
      <w:vertAlign w:val="superscript"/>
      <w:lang w:val="en-US"/>
    </w:rPr>
  </w:style>
  <w:style w:type="character" w:customStyle="1" w:styleId="eop">
    <w:name w:val="eop"/>
    <w:basedOn w:val="DefaultParagraphFont"/>
    <w:rsid w:val="004E39F5"/>
  </w:style>
  <w:style w:type="character" w:customStyle="1" w:styleId="ListParagraphChar">
    <w:name w:val="List Paragraph Char"/>
    <w:aliases w:val="REPORT Bullet Char"/>
    <w:link w:val="ListParagraph"/>
    <w:uiPriority w:val="34"/>
    <w:locked/>
    <w:rsid w:val="0008167D"/>
    <w:rPr>
      <w:lang w:val="hr-HR"/>
    </w:rPr>
  </w:style>
  <w:style w:type="character" w:styleId="Hyperlink">
    <w:name w:val="Hyperlink"/>
    <w:basedOn w:val="DefaultParagraphFont"/>
    <w:uiPriority w:val="99"/>
    <w:unhideWhenUsed/>
    <w:rsid w:val="00B256F0"/>
    <w:rPr>
      <w:color w:val="0563C1" w:themeColor="hyperlink"/>
      <w:u w:val="single"/>
    </w:rPr>
  </w:style>
  <w:style w:type="character" w:styleId="FollowedHyperlink">
    <w:name w:val="FollowedHyperlink"/>
    <w:basedOn w:val="DefaultParagraphFont"/>
    <w:uiPriority w:val="99"/>
    <w:semiHidden/>
    <w:unhideWhenUsed/>
    <w:rsid w:val="00F6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 w:id="16628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52022XC1028(03)&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04BC-9877-4399-A10A-93EE59B3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 ds:uri="9bc3fca8-97d0-469e-b2a2-9da192aebc5e"/>
    <ds:schemaRef ds:uri="3e02667f-0271-471b-bd6e-11a2e16def1d"/>
  </ds:schemaRefs>
</ds:datastoreItem>
</file>

<file path=customXml/itemProps3.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4.xml><?xml version="1.0" encoding="utf-8"?>
<ds:datastoreItem xmlns:ds="http://schemas.openxmlformats.org/officeDocument/2006/customXml" ds:itemID="{F7258EF5-4C2C-4F45-BFF2-6378ABBC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slusetic</cp:lastModifiedBy>
  <cp:revision>7</cp:revision>
  <dcterms:created xsi:type="dcterms:W3CDTF">2022-12-28T14:05:00Z</dcterms:created>
  <dcterms:modified xsi:type="dcterms:W3CDTF">2023-01-10T09:29:00Z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