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45" w:rsidRPr="00FE4B89" w:rsidRDefault="007A7E45" w:rsidP="00FE4B89"/>
    <w:p w:rsidR="00521507" w:rsidRDefault="00E71AB7">
      <w:pPr>
        <w:pStyle w:val="Heading2"/>
      </w:pPr>
      <w:r>
        <w:t>08008 Javni instituti u Republici Hrvatskoj</w:t>
      </w:r>
    </w:p>
    <w:p w:rsidR="00521507" w:rsidRDefault="00E71AB7">
      <w:r>
        <w:t>Mreža od 25 javnih znanstvenih instituta, osnovanih s ciljem obavljanja znanstvene i stručne djelatnosti, čini okosnicu znanstvenoga sustava u Republici Hrvatskoj. Ciljevi znanstvene djelatnosti su proširenje i produbljivanje znanstvenih spoznaja, doprinos</w:t>
      </w:r>
      <w:r>
        <w:t xml:space="preserve"> rješavanju znanstvenih, socijalnih, gospodarskih, kulturnih i razvojnih izazova strateški važnih za Republiku Hrvatsku, stvaranje inovacija i patenata, poticanje održivog razvoja, postizanje konkurentnosti znanstvenih programa i projekata te povezivanje z</w:t>
      </w:r>
      <w:r>
        <w:t xml:space="preserve">nanstvene djelatnosti i visokog obrazovanja. </w:t>
      </w:r>
    </w:p>
    <w:p w:rsidR="00521507" w:rsidRDefault="00E71AB7">
      <w:r>
        <w:t>Primarna zadaća javnih znanstvenih instituta je poticanje provedbe i sustavno unaprjeđivanje znanstvene djelatnosti, diseminacija rezultata istraživanja radi jačanja konkurentnosti hrvatskoga gospodarstva, inte</w:t>
      </w:r>
      <w:r>
        <w:t>gracija hrvatskog znanstvenog sustava u Europski istraživački prostor uz prihvaćanje posebnosti društvenih i humanističkih znanosti te izrada znanstvenih i stručnih podloga za potrebe Republike Hrvatske.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11"/>
        <w:gridCol w:w="1565"/>
        <w:gridCol w:w="1565"/>
        <w:gridCol w:w="1565"/>
        <w:gridCol w:w="1565"/>
        <w:gridCol w:w="1565"/>
        <w:gridCol w:w="970"/>
      </w:tblGrid>
      <w:tr w:rsidR="00521507">
        <w:trPr>
          <w:jc w:val="center"/>
        </w:trPr>
        <w:tc>
          <w:tcPr>
            <w:tcW w:w="1530" w:type="dxa"/>
            <w:shd w:val="clear" w:color="auto" w:fill="B5C0D8"/>
          </w:tcPr>
          <w:p w:rsidR="00521507" w:rsidRDefault="00521507">
            <w:pPr>
              <w:pStyle w:val="CellHeader"/>
              <w:jc w:val="center"/>
            </w:pP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</w:t>
            </w:r>
            <w:r>
              <w:rPr>
                <w:rFonts w:cs="Times New Roman"/>
              </w:rPr>
              <w:t>an 2026.</w:t>
            </w:r>
          </w:p>
        </w:tc>
        <w:tc>
          <w:tcPr>
            <w:tcW w:w="510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521507">
        <w:trPr>
          <w:jc w:val="center"/>
        </w:trPr>
        <w:tc>
          <w:tcPr>
            <w:tcW w:w="1530" w:type="dxa"/>
          </w:tcPr>
          <w:p w:rsidR="00521507" w:rsidRDefault="00E71AB7">
            <w:pPr>
              <w:pStyle w:val="CellColumn"/>
              <w:jc w:val="left"/>
            </w:pPr>
            <w:r>
              <w:rPr>
                <w:rFonts w:cs="Times New Roman"/>
              </w:rPr>
              <w:t>08008</w:t>
            </w:r>
          </w:p>
        </w:tc>
        <w:tc>
          <w:tcPr>
            <w:tcW w:w="1632" w:type="dxa"/>
          </w:tcPr>
          <w:p w:rsidR="00521507" w:rsidRDefault="00E71AB7">
            <w:pPr>
              <w:jc w:val="right"/>
            </w:pPr>
            <w:r>
              <w:t>143.545.063</w:t>
            </w:r>
          </w:p>
        </w:tc>
        <w:tc>
          <w:tcPr>
            <w:tcW w:w="1632" w:type="dxa"/>
          </w:tcPr>
          <w:p w:rsidR="00521507" w:rsidRDefault="00E71AB7">
            <w:pPr>
              <w:jc w:val="right"/>
            </w:pPr>
            <w:r>
              <w:t>142.330.961</w:t>
            </w:r>
          </w:p>
        </w:tc>
        <w:tc>
          <w:tcPr>
            <w:tcW w:w="1632" w:type="dxa"/>
          </w:tcPr>
          <w:p w:rsidR="00521507" w:rsidRDefault="00E71AB7">
            <w:pPr>
              <w:jc w:val="right"/>
            </w:pPr>
            <w:r>
              <w:t>160.663.090</w:t>
            </w:r>
          </w:p>
        </w:tc>
        <w:tc>
          <w:tcPr>
            <w:tcW w:w="1632" w:type="dxa"/>
          </w:tcPr>
          <w:p w:rsidR="00521507" w:rsidRDefault="00E71AB7">
            <w:pPr>
              <w:jc w:val="right"/>
            </w:pPr>
            <w:r>
              <w:t>139.900.626</w:t>
            </w:r>
          </w:p>
        </w:tc>
        <w:tc>
          <w:tcPr>
            <w:tcW w:w="1632" w:type="dxa"/>
          </w:tcPr>
          <w:p w:rsidR="00521507" w:rsidRDefault="00E71AB7">
            <w:pPr>
              <w:jc w:val="right"/>
            </w:pPr>
            <w:r>
              <w:t>131.266.255</w:t>
            </w:r>
          </w:p>
        </w:tc>
        <w:tc>
          <w:tcPr>
            <w:tcW w:w="510" w:type="dxa"/>
          </w:tcPr>
          <w:p w:rsidR="00521507" w:rsidRDefault="00E71AB7">
            <w:pPr>
              <w:jc w:val="right"/>
            </w:pPr>
            <w:r>
              <w:t>112,9</w:t>
            </w:r>
          </w:p>
        </w:tc>
      </w:tr>
    </w:tbl>
    <w:p w:rsidR="00521507" w:rsidRDefault="00521507">
      <w:pPr>
        <w:jc w:val="left"/>
      </w:pPr>
    </w:p>
    <w:p w:rsidR="00521507" w:rsidRDefault="00E71AB7">
      <w:pPr>
        <w:pStyle w:val="Heading3"/>
      </w:pPr>
      <w:r>
        <w:rPr>
          <w:rFonts w:cs="Times New Roman"/>
        </w:rPr>
        <w:t>3801 ULAGANJE U ZNANSTVENO ISTRAŽIVAČKU DJELATNOST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01"/>
        <w:gridCol w:w="1567"/>
        <w:gridCol w:w="1567"/>
        <w:gridCol w:w="1567"/>
        <w:gridCol w:w="1567"/>
        <w:gridCol w:w="1567"/>
        <w:gridCol w:w="970"/>
      </w:tblGrid>
      <w:tr w:rsidR="00521507">
        <w:trPr>
          <w:jc w:val="center"/>
        </w:trPr>
        <w:tc>
          <w:tcPr>
            <w:tcW w:w="1530" w:type="dxa"/>
            <w:shd w:val="clear" w:color="auto" w:fill="B5C0D8"/>
          </w:tcPr>
          <w:p w:rsidR="00521507" w:rsidRDefault="00521507">
            <w:pPr>
              <w:pStyle w:val="CellHeader"/>
              <w:jc w:val="center"/>
            </w:pP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521507">
        <w:trPr>
          <w:jc w:val="center"/>
        </w:trPr>
        <w:tc>
          <w:tcPr>
            <w:tcW w:w="1530" w:type="dxa"/>
          </w:tcPr>
          <w:p w:rsidR="00521507" w:rsidRDefault="00E71AB7">
            <w:pPr>
              <w:pStyle w:val="CellColumn"/>
              <w:jc w:val="left"/>
            </w:pPr>
            <w:r>
              <w:rPr>
                <w:rFonts w:cs="Times New Roman"/>
              </w:rPr>
              <w:t>3801</w:t>
            </w:r>
          </w:p>
        </w:tc>
        <w:tc>
          <w:tcPr>
            <w:tcW w:w="1632" w:type="dxa"/>
          </w:tcPr>
          <w:p w:rsidR="00521507" w:rsidRDefault="00E71AB7">
            <w:pPr>
              <w:jc w:val="right"/>
            </w:pPr>
            <w:r>
              <w:t>143.545.063</w:t>
            </w:r>
          </w:p>
        </w:tc>
        <w:tc>
          <w:tcPr>
            <w:tcW w:w="1632" w:type="dxa"/>
          </w:tcPr>
          <w:p w:rsidR="00521507" w:rsidRDefault="00E71AB7">
            <w:pPr>
              <w:jc w:val="right"/>
            </w:pPr>
            <w:r>
              <w:t>142.330.961</w:t>
            </w:r>
          </w:p>
        </w:tc>
        <w:tc>
          <w:tcPr>
            <w:tcW w:w="1632" w:type="dxa"/>
          </w:tcPr>
          <w:p w:rsidR="00521507" w:rsidRDefault="00E71AB7">
            <w:pPr>
              <w:jc w:val="right"/>
            </w:pPr>
            <w:r>
              <w:t>160.663.090</w:t>
            </w:r>
          </w:p>
        </w:tc>
        <w:tc>
          <w:tcPr>
            <w:tcW w:w="1632" w:type="dxa"/>
          </w:tcPr>
          <w:p w:rsidR="00521507" w:rsidRDefault="00E71AB7">
            <w:pPr>
              <w:jc w:val="right"/>
            </w:pPr>
            <w:r>
              <w:t>139.900.626</w:t>
            </w:r>
          </w:p>
        </w:tc>
        <w:tc>
          <w:tcPr>
            <w:tcW w:w="1632" w:type="dxa"/>
          </w:tcPr>
          <w:p w:rsidR="00521507" w:rsidRDefault="00E71AB7">
            <w:pPr>
              <w:jc w:val="right"/>
            </w:pPr>
            <w:r>
              <w:t>131.266.255</w:t>
            </w:r>
          </w:p>
        </w:tc>
        <w:tc>
          <w:tcPr>
            <w:tcW w:w="510" w:type="dxa"/>
          </w:tcPr>
          <w:p w:rsidR="00521507" w:rsidRDefault="00E71AB7">
            <w:pPr>
              <w:jc w:val="right"/>
            </w:pPr>
            <w:r>
              <w:t>112,9</w:t>
            </w:r>
          </w:p>
        </w:tc>
      </w:tr>
    </w:tbl>
    <w:p w:rsidR="00521507" w:rsidRDefault="00521507">
      <w:pPr>
        <w:jc w:val="left"/>
      </w:pPr>
    </w:p>
    <w:p w:rsidR="00521507" w:rsidRDefault="00E71AB7">
      <w:pPr>
        <w:pStyle w:val="Heading8"/>
        <w:jc w:val="left"/>
      </w:pPr>
      <w:r>
        <w:t>Cilj 1. Jačanje znanstvene infrastrukture i sustav znanosti</w:t>
      </w:r>
    </w:p>
    <w:p w:rsidR="00521507" w:rsidRDefault="00E71AB7">
      <w:pPr>
        <w:pStyle w:val="Heading8"/>
        <w:jc w:val="left"/>
      </w:pPr>
      <w:r>
        <w:t>Cilj 2. Poticanje izvrsnost i jačanje ljudskih potencijala</w:t>
      </w:r>
    </w:p>
    <w:p w:rsidR="00521507" w:rsidRDefault="00E71AB7">
      <w:pPr>
        <w:pStyle w:val="Heading8"/>
        <w:jc w:val="left"/>
      </w:pPr>
      <w:r>
        <w:t xml:space="preserve">Cilj 3. Unaprjeđenje povezanost i suradnju znanstvene i visokoobrazovne zajednice s inovativnim gospodarstvom i društvom u cjelini  </w:t>
      </w:r>
    </w:p>
    <w:p w:rsidR="00521507" w:rsidRDefault="00E71AB7">
      <w:pPr>
        <w:pStyle w:val="Heading8"/>
        <w:jc w:val="left"/>
      </w:pPr>
      <w:r>
        <w:t>Pokazatelji učinka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521507">
        <w:trPr>
          <w:jc w:val="center"/>
        </w:trPr>
        <w:tc>
          <w:tcPr>
            <w:tcW w:w="2245" w:type="dxa"/>
            <w:shd w:val="clear" w:color="auto" w:fill="B5C0D8"/>
          </w:tcPr>
          <w:p w:rsidR="00521507" w:rsidRDefault="00E71AB7">
            <w:pPr>
              <w:jc w:val="center"/>
            </w:pPr>
            <w:r>
              <w:t>Pokazatelj učinka</w:t>
            </w:r>
          </w:p>
        </w:tc>
        <w:tc>
          <w:tcPr>
            <w:tcW w:w="2245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521507">
        <w:trPr>
          <w:jc w:val="center"/>
        </w:trPr>
        <w:tc>
          <w:tcPr>
            <w:tcW w:w="2245" w:type="dxa"/>
            <w:vAlign w:val="top"/>
          </w:tcPr>
          <w:p w:rsidR="00521507" w:rsidRDefault="00E71AB7">
            <w:pPr>
              <w:pStyle w:val="CellColumn"/>
              <w:jc w:val="left"/>
            </w:pPr>
            <w:r>
              <w:rPr>
                <w:rFonts w:cs="Times New Roman"/>
              </w:rPr>
              <w:t>Povećanje ulaganja u znanost i istraživanje kao udio u BDP-u</w:t>
            </w:r>
          </w:p>
        </w:tc>
        <w:tc>
          <w:tcPr>
            <w:tcW w:w="2245" w:type="dxa"/>
            <w:vAlign w:val="top"/>
          </w:tcPr>
          <w:p w:rsidR="00521507" w:rsidRDefault="00E71AB7">
            <w:pPr>
              <w:pStyle w:val="CellColumn"/>
              <w:jc w:val="left"/>
            </w:pPr>
            <w:r>
              <w:rPr>
                <w:rFonts w:cs="Times New Roman"/>
              </w:rPr>
              <w:t>Ukupno izdvajanja za znanost i istraživanje kao udjela u BDP-u</w:t>
            </w:r>
          </w:p>
        </w:tc>
        <w:tc>
          <w:tcPr>
            <w:tcW w:w="918" w:type="dxa"/>
          </w:tcPr>
          <w:p w:rsidR="00521507" w:rsidRDefault="00E71AB7">
            <w:pPr>
              <w:jc w:val="center"/>
            </w:pPr>
            <w:r>
              <w:t>Postotak</w:t>
            </w:r>
          </w:p>
        </w:tc>
        <w:tc>
          <w:tcPr>
            <w:tcW w:w="918" w:type="dxa"/>
          </w:tcPr>
          <w:p w:rsidR="00521507" w:rsidRDefault="00E71AB7">
            <w:pPr>
              <w:jc w:val="center"/>
            </w:pPr>
            <w:r>
              <w:t>1,43</w:t>
            </w:r>
          </w:p>
        </w:tc>
        <w:tc>
          <w:tcPr>
            <w:tcW w:w="918" w:type="dxa"/>
          </w:tcPr>
          <w:p w:rsidR="00521507" w:rsidRDefault="00E71AB7">
            <w:pPr>
              <w:pStyle w:val="CellColumn"/>
              <w:jc w:val="center"/>
            </w:pPr>
            <w:r>
              <w:rPr>
                <w:rFonts w:cs="Times New Roman"/>
              </w:rPr>
              <w:t>DZS</w:t>
            </w:r>
          </w:p>
        </w:tc>
        <w:tc>
          <w:tcPr>
            <w:tcW w:w="918" w:type="dxa"/>
          </w:tcPr>
          <w:p w:rsidR="00521507" w:rsidRDefault="00E71AB7">
            <w:pPr>
              <w:jc w:val="center"/>
            </w:pPr>
            <w:r>
              <w:t>1,6</w:t>
            </w:r>
          </w:p>
        </w:tc>
        <w:tc>
          <w:tcPr>
            <w:tcW w:w="918" w:type="dxa"/>
          </w:tcPr>
          <w:p w:rsidR="00521507" w:rsidRDefault="00E71AB7">
            <w:pPr>
              <w:jc w:val="center"/>
            </w:pPr>
            <w:r>
              <w:t>2,0</w:t>
            </w:r>
          </w:p>
        </w:tc>
        <w:tc>
          <w:tcPr>
            <w:tcW w:w="918" w:type="dxa"/>
          </w:tcPr>
          <w:p w:rsidR="00521507" w:rsidRDefault="00E71AB7">
            <w:pPr>
              <w:jc w:val="center"/>
            </w:pPr>
            <w:r>
              <w:t>2,5</w:t>
            </w:r>
          </w:p>
        </w:tc>
      </w:tr>
      <w:tr w:rsidR="00521507">
        <w:trPr>
          <w:jc w:val="center"/>
        </w:trPr>
        <w:tc>
          <w:tcPr>
            <w:tcW w:w="2245" w:type="dxa"/>
            <w:vAlign w:val="top"/>
          </w:tcPr>
          <w:p w:rsidR="00521507" w:rsidRDefault="00E71AB7">
            <w:pPr>
              <w:pStyle w:val="CellColumn"/>
              <w:jc w:val="left"/>
            </w:pPr>
            <w:r>
              <w:rPr>
                <w:rFonts w:cs="Times New Roman"/>
              </w:rPr>
              <w:t>Povećanje ukupnog izdvajanja za znanost i istraživanje u sklopu Okvirnog programa za istraživanje i inovacije</w:t>
            </w:r>
          </w:p>
        </w:tc>
        <w:tc>
          <w:tcPr>
            <w:tcW w:w="2245" w:type="dxa"/>
            <w:vAlign w:val="top"/>
          </w:tcPr>
          <w:p w:rsidR="00521507" w:rsidRDefault="00E71AB7">
            <w:pPr>
              <w:pStyle w:val="CellColumn"/>
              <w:jc w:val="left"/>
            </w:pPr>
            <w:r>
              <w:rPr>
                <w:rFonts w:cs="Times New Roman"/>
              </w:rPr>
              <w:t>Postotak stope uspješnosti hrvatskih prijava na Okvirni program za istraživanje i inovacije</w:t>
            </w:r>
          </w:p>
        </w:tc>
        <w:tc>
          <w:tcPr>
            <w:tcW w:w="918" w:type="dxa"/>
          </w:tcPr>
          <w:p w:rsidR="00521507" w:rsidRDefault="00E71AB7">
            <w:pPr>
              <w:jc w:val="center"/>
            </w:pPr>
            <w:r>
              <w:t>Postotak</w:t>
            </w:r>
          </w:p>
        </w:tc>
        <w:tc>
          <w:tcPr>
            <w:tcW w:w="918" w:type="dxa"/>
          </w:tcPr>
          <w:p w:rsidR="00521507" w:rsidRDefault="00E71AB7">
            <w:pPr>
              <w:jc w:val="center"/>
            </w:pPr>
            <w:r>
              <w:t>18,64</w:t>
            </w:r>
          </w:p>
        </w:tc>
        <w:tc>
          <w:tcPr>
            <w:tcW w:w="918" w:type="dxa"/>
          </w:tcPr>
          <w:p w:rsidR="00521507" w:rsidRDefault="00E71AB7">
            <w:pPr>
              <w:pStyle w:val="CellColumn"/>
              <w:jc w:val="center"/>
            </w:pPr>
            <w:r>
              <w:rPr>
                <w:rFonts w:cs="Times New Roman"/>
              </w:rPr>
              <w:t>e-CORDA</w:t>
            </w:r>
          </w:p>
        </w:tc>
        <w:tc>
          <w:tcPr>
            <w:tcW w:w="918" w:type="dxa"/>
          </w:tcPr>
          <w:p w:rsidR="00521507" w:rsidRDefault="00E71AB7">
            <w:pPr>
              <w:jc w:val="center"/>
            </w:pPr>
            <w:r>
              <w:t>18,80</w:t>
            </w:r>
          </w:p>
        </w:tc>
        <w:tc>
          <w:tcPr>
            <w:tcW w:w="918" w:type="dxa"/>
          </w:tcPr>
          <w:p w:rsidR="00521507" w:rsidRDefault="00E71AB7">
            <w:pPr>
              <w:jc w:val="center"/>
            </w:pPr>
            <w:r>
              <w:t>18,85</w:t>
            </w:r>
          </w:p>
        </w:tc>
        <w:tc>
          <w:tcPr>
            <w:tcW w:w="918" w:type="dxa"/>
          </w:tcPr>
          <w:p w:rsidR="00521507" w:rsidRDefault="00E71AB7">
            <w:pPr>
              <w:jc w:val="center"/>
            </w:pPr>
            <w:r>
              <w:t>18,90</w:t>
            </w:r>
          </w:p>
        </w:tc>
      </w:tr>
      <w:tr w:rsidR="00521507">
        <w:trPr>
          <w:jc w:val="center"/>
        </w:trPr>
        <w:tc>
          <w:tcPr>
            <w:tcW w:w="2245" w:type="dxa"/>
            <w:vAlign w:val="top"/>
          </w:tcPr>
          <w:p w:rsidR="00521507" w:rsidRDefault="00E71AB7">
            <w:pPr>
              <w:pStyle w:val="CellColumn"/>
              <w:jc w:val="left"/>
            </w:pPr>
            <w:r>
              <w:rPr>
                <w:rFonts w:cs="Times New Roman"/>
              </w:rPr>
              <w:t>Povećanje ul</w:t>
            </w:r>
            <w:r>
              <w:rPr>
                <w:rFonts w:cs="Times New Roman"/>
              </w:rPr>
              <w:t>aganja iz privatnoga sektora u znanost i istraživanje</w:t>
            </w:r>
          </w:p>
        </w:tc>
        <w:tc>
          <w:tcPr>
            <w:tcW w:w="2245" w:type="dxa"/>
            <w:vAlign w:val="top"/>
          </w:tcPr>
          <w:p w:rsidR="00521507" w:rsidRDefault="00E71AB7">
            <w:pPr>
              <w:pStyle w:val="CellColumn"/>
              <w:jc w:val="left"/>
            </w:pPr>
            <w:r>
              <w:rPr>
                <w:rFonts w:cs="Times New Roman"/>
              </w:rPr>
              <w:t>Postotak izdvajanja u poslovni sektor za znanost i istraživanje</w:t>
            </w:r>
          </w:p>
        </w:tc>
        <w:tc>
          <w:tcPr>
            <w:tcW w:w="918" w:type="dxa"/>
          </w:tcPr>
          <w:p w:rsidR="00521507" w:rsidRDefault="00E71AB7">
            <w:pPr>
              <w:jc w:val="center"/>
            </w:pPr>
            <w:r>
              <w:t>Postotak</w:t>
            </w:r>
          </w:p>
        </w:tc>
        <w:tc>
          <w:tcPr>
            <w:tcW w:w="918" w:type="dxa"/>
          </w:tcPr>
          <w:p w:rsidR="00521507" w:rsidRDefault="00E71AB7">
            <w:pPr>
              <w:jc w:val="center"/>
            </w:pPr>
            <w:r>
              <w:t>54.3</w:t>
            </w:r>
          </w:p>
        </w:tc>
        <w:tc>
          <w:tcPr>
            <w:tcW w:w="918" w:type="dxa"/>
          </w:tcPr>
          <w:p w:rsidR="00521507" w:rsidRDefault="00E71AB7">
            <w:pPr>
              <w:pStyle w:val="CellColumn"/>
              <w:jc w:val="center"/>
            </w:pPr>
            <w:r>
              <w:rPr>
                <w:rFonts w:cs="Times New Roman"/>
              </w:rPr>
              <w:t>DZS</w:t>
            </w:r>
          </w:p>
        </w:tc>
        <w:tc>
          <w:tcPr>
            <w:tcW w:w="918" w:type="dxa"/>
          </w:tcPr>
          <w:p w:rsidR="00521507" w:rsidRDefault="00E71AB7">
            <w:pPr>
              <w:jc w:val="center"/>
            </w:pPr>
            <w:r>
              <w:t>54,5</w:t>
            </w:r>
          </w:p>
        </w:tc>
        <w:tc>
          <w:tcPr>
            <w:tcW w:w="918" w:type="dxa"/>
          </w:tcPr>
          <w:p w:rsidR="00521507" w:rsidRDefault="00E71AB7">
            <w:pPr>
              <w:jc w:val="center"/>
            </w:pPr>
            <w:r>
              <w:t>55</w:t>
            </w:r>
          </w:p>
        </w:tc>
        <w:tc>
          <w:tcPr>
            <w:tcW w:w="918" w:type="dxa"/>
          </w:tcPr>
          <w:p w:rsidR="00521507" w:rsidRDefault="00E71AB7">
            <w:pPr>
              <w:jc w:val="center"/>
            </w:pPr>
            <w:r>
              <w:t>56</w:t>
            </w:r>
          </w:p>
        </w:tc>
      </w:tr>
    </w:tbl>
    <w:p w:rsidR="00521507" w:rsidRDefault="00521507">
      <w:pPr>
        <w:jc w:val="left"/>
      </w:pPr>
    </w:p>
    <w:p w:rsidR="00521507" w:rsidRDefault="00E71AB7">
      <w:pPr>
        <w:pStyle w:val="Heading4"/>
      </w:pPr>
      <w:r>
        <w:t>A622150 PROGRAMSKO FINANCIRANJE JAVNIH INSTITUTA</w:t>
      </w:r>
    </w:p>
    <w:p w:rsidR="00521507" w:rsidRDefault="00E71AB7">
      <w:pPr>
        <w:pStyle w:val="Heading8"/>
        <w:jc w:val="left"/>
      </w:pPr>
      <w:r>
        <w:t>Zakonske i druge pravne osnove</w:t>
      </w:r>
    </w:p>
    <w:p w:rsidR="00521507" w:rsidRDefault="00E71AB7">
      <w:r>
        <w:t>Zakon o visokom obrazovanju i znanstvenoj djelatnosti, Uredba o programskom financiranju javnih visokih učilišta i javnih znanstvenih instituta u Republici Hrvatskoj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5"/>
        <w:gridCol w:w="1550"/>
        <w:gridCol w:w="1520"/>
        <w:gridCol w:w="1567"/>
        <w:gridCol w:w="1567"/>
        <w:gridCol w:w="1567"/>
        <w:gridCol w:w="970"/>
      </w:tblGrid>
      <w:tr w:rsidR="00521507">
        <w:trPr>
          <w:jc w:val="center"/>
        </w:trPr>
        <w:tc>
          <w:tcPr>
            <w:tcW w:w="1530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Indeks 2024/2</w:t>
            </w:r>
            <w:r>
              <w:rPr>
                <w:rFonts w:cs="Times New Roman"/>
              </w:rPr>
              <w:t>023</w:t>
            </w:r>
          </w:p>
        </w:tc>
      </w:tr>
      <w:tr w:rsidR="00521507">
        <w:trPr>
          <w:jc w:val="center"/>
        </w:trPr>
        <w:tc>
          <w:tcPr>
            <w:tcW w:w="1530" w:type="dxa"/>
            <w:vAlign w:val="top"/>
          </w:tcPr>
          <w:p w:rsidR="00521507" w:rsidRDefault="00E71AB7">
            <w:pPr>
              <w:pStyle w:val="CellColumn"/>
              <w:jc w:val="left"/>
            </w:pPr>
            <w:r>
              <w:rPr>
                <w:rFonts w:cs="Times New Roman"/>
              </w:rPr>
              <w:t>A622150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00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00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76.599.890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76.947.616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77.078.943</w:t>
            </w:r>
          </w:p>
        </w:tc>
        <w:tc>
          <w:tcPr>
            <w:tcW w:w="510" w:type="dxa"/>
            <w:vAlign w:val="top"/>
          </w:tcPr>
          <w:p w:rsidR="00521507" w:rsidRDefault="00E71AB7">
            <w:pPr>
              <w:jc w:val="right"/>
            </w:pPr>
            <w:r>
              <w:t>0,0</w:t>
            </w:r>
          </w:p>
        </w:tc>
      </w:tr>
    </w:tbl>
    <w:p w:rsidR="00521507" w:rsidRDefault="00521507">
      <w:pPr>
        <w:jc w:val="left"/>
      </w:pPr>
    </w:p>
    <w:p w:rsidR="00521507" w:rsidRDefault="00E71AB7">
      <w:r>
        <w:t xml:space="preserve">Ministarstvo znanosti i obrazovanja pokrenulo je tijekom 2023. godine postupak pregovaranja o programskom ugovoru s dvadeset i pet javnih znanstvenih instituta s ciljem uvođenja novog modela financiranja.  </w:t>
      </w:r>
    </w:p>
    <w:p w:rsidR="00521507" w:rsidRDefault="00E71AB7">
      <w:r>
        <w:t>Programskim ugovorom utvrđuje se ukupno višegodiš</w:t>
      </w:r>
      <w:r>
        <w:t>nje financiranje javnih znanstvenih instituta iz sredstava državnoga proračuna, a sastoji se od osnovne, razvojne i izvedbene proračunske komponente. Osnovnom proračunskom komponentom financiraju se osnovne potrebe javnog znanstvenog instituta, koje proizl</w:t>
      </w:r>
      <w:r>
        <w:t xml:space="preserve">aze iz obavljanja njegove djelatnosti, dok se razvojnom i izvedbenom proračunskom komponentom financira ostvarivanje posebnih ciljeva, koji se odnose na razvojne i izvedbene aktivnosti. </w:t>
      </w:r>
    </w:p>
    <w:p w:rsidR="00521507" w:rsidRDefault="00E71AB7">
      <w:r>
        <w:t xml:space="preserve"> </w:t>
      </w:r>
    </w:p>
    <w:p w:rsidR="00521507" w:rsidRDefault="00E71AB7">
      <w:r>
        <w:t>Programski ugovor omogućuje javnim znanstvenim institutima da defin</w:t>
      </w:r>
      <w:r>
        <w:t xml:space="preserve">iraju svoje ciljeve i sredstva za njihovo ostvarenje, i to povezanim ulaganjima iz državnoga proračuna i Nacionalnoga plana oporavka i otpornosti. Kriteriji financiranja programskim ugovorom temelje se na nacionalnim strateškim smjernicama i izravno ovise </w:t>
      </w:r>
      <w:r>
        <w:t xml:space="preserve">o rezultatima i kvaliteti znanstvenoga rada.  </w:t>
      </w:r>
    </w:p>
    <w:p w:rsidR="00521507" w:rsidRDefault="00E71AB7">
      <w:r>
        <w:t xml:space="preserve"> </w:t>
      </w:r>
    </w:p>
    <w:p w:rsidR="00521507" w:rsidRDefault="00E71AB7">
      <w:r>
        <w:t xml:space="preserve">Strateški ciljevi koje javni znanstveni instituti moraju ostvariti u sklopu ugovorenoga programskog razdoblja su: </w:t>
      </w:r>
    </w:p>
    <w:p w:rsidR="00521507" w:rsidRDefault="00E71AB7">
      <w:r>
        <w:t xml:space="preserve">• podizanje znanstvene izvrsnosti </w:t>
      </w:r>
    </w:p>
    <w:p w:rsidR="00521507" w:rsidRDefault="00E71AB7">
      <w:r>
        <w:t xml:space="preserve">• jačanje suradnje s gospodarstvom te razvoj nacionalnoga i regionalnoga identiteta i kulture te </w:t>
      </w:r>
    </w:p>
    <w:p w:rsidR="00521507" w:rsidRDefault="00E71AB7">
      <w:r>
        <w:t xml:space="preserve">• jačanje društvene odgovornosti. </w:t>
      </w:r>
    </w:p>
    <w:p w:rsidR="00521507" w:rsidRDefault="00E71AB7">
      <w:r>
        <w:t xml:space="preserve"> </w:t>
      </w:r>
    </w:p>
    <w:p w:rsidR="00521507" w:rsidRDefault="00E71AB7">
      <w:r>
        <w:t xml:space="preserve">Uvođenjem novoga modela financiranja programskim ugovorom javni znanstveni instituti preuzimaju odgovornost za dugoročni </w:t>
      </w:r>
      <w:r>
        <w:t>i sustavan rad na ostvarenju ciljeva iz programskoga ugovora kako bi ostvarili dodatno financiranje na temelju ostvarenih rezultata. Na ovakav način prvi put se uspostavlja funkcionalan sustav unaprjeđenja i razvoja kvalitete znanosti kojim će se omogućiti</w:t>
      </w:r>
      <w:r>
        <w:t xml:space="preserve"> postizanje punoga potencijala hrvatskoga istraživačkog sektora.</w:t>
      </w:r>
    </w:p>
    <w:p w:rsidR="00521507" w:rsidRDefault="00E71AB7">
      <w:pPr>
        <w:pStyle w:val="Heading8"/>
        <w:jc w:val="left"/>
      </w:pPr>
      <w: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1"/>
        <w:gridCol w:w="2291"/>
        <w:gridCol w:w="944"/>
        <w:gridCol w:w="936"/>
        <w:gridCol w:w="936"/>
        <w:gridCol w:w="936"/>
        <w:gridCol w:w="936"/>
        <w:gridCol w:w="936"/>
      </w:tblGrid>
      <w:tr w:rsidR="00521507">
        <w:trPr>
          <w:jc w:val="center"/>
        </w:trPr>
        <w:tc>
          <w:tcPr>
            <w:tcW w:w="2245" w:type="dxa"/>
            <w:shd w:val="clear" w:color="auto" w:fill="B5C0D8"/>
          </w:tcPr>
          <w:p w:rsidR="00521507" w:rsidRDefault="00E71AB7">
            <w:pPr>
              <w:jc w:val="center"/>
            </w:pPr>
            <w: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521507">
        <w:trPr>
          <w:jc w:val="center"/>
        </w:trPr>
        <w:tc>
          <w:tcPr>
            <w:tcW w:w="2245" w:type="dxa"/>
            <w:vAlign w:val="top"/>
          </w:tcPr>
          <w:p w:rsidR="00521507" w:rsidRDefault="00E71AB7">
            <w:pPr>
              <w:pStyle w:val="CellColumn"/>
              <w:jc w:val="left"/>
            </w:pPr>
            <w:r>
              <w:rPr>
                <w:rFonts w:cs="Times New Roman"/>
              </w:rPr>
              <w:t>Broj sklopljenih programskih ugovora</w:t>
            </w:r>
          </w:p>
        </w:tc>
        <w:tc>
          <w:tcPr>
            <w:tcW w:w="2245" w:type="dxa"/>
            <w:vAlign w:val="top"/>
          </w:tcPr>
          <w:p w:rsidR="00521507" w:rsidRDefault="00E71AB7">
            <w:pPr>
              <w:pStyle w:val="CellColumn"/>
              <w:jc w:val="left"/>
            </w:pPr>
            <w:r>
              <w:rPr>
                <w:rFonts w:cs="Times New Roman"/>
              </w:rPr>
              <w:t>Broj javnih znanstvenih instituta koji će završiti pregovore i sklopiti programski ugovor</w:t>
            </w:r>
          </w:p>
        </w:tc>
        <w:tc>
          <w:tcPr>
            <w:tcW w:w="918" w:type="dxa"/>
          </w:tcPr>
          <w:p w:rsidR="00521507" w:rsidRDefault="00E71AB7">
            <w:pPr>
              <w:jc w:val="center"/>
            </w:pPr>
            <w:r>
              <w:t>Broj (godišnje)</w:t>
            </w:r>
          </w:p>
        </w:tc>
        <w:tc>
          <w:tcPr>
            <w:tcW w:w="918" w:type="dxa"/>
          </w:tcPr>
          <w:p w:rsidR="00521507" w:rsidRDefault="00E71AB7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521507" w:rsidRDefault="00E71AB7">
            <w:pPr>
              <w:pStyle w:val="CellColumn"/>
              <w:jc w:val="center"/>
            </w:pPr>
            <w:r>
              <w:rPr>
                <w:rFonts w:cs="Times New Roman"/>
              </w:rPr>
              <w:t>MZO</w:t>
            </w:r>
          </w:p>
        </w:tc>
        <w:tc>
          <w:tcPr>
            <w:tcW w:w="918" w:type="dxa"/>
          </w:tcPr>
          <w:p w:rsidR="00521507" w:rsidRDefault="00E71AB7">
            <w:pPr>
              <w:jc w:val="center"/>
            </w:pPr>
            <w:r>
              <w:t>20</w:t>
            </w:r>
          </w:p>
        </w:tc>
        <w:tc>
          <w:tcPr>
            <w:tcW w:w="918" w:type="dxa"/>
          </w:tcPr>
          <w:p w:rsidR="00521507" w:rsidRDefault="00E71AB7">
            <w:pPr>
              <w:jc w:val="center"/>
            </w:pPr>
            <w:r>
              <w:t>25</w:t>
            </w:r>
          </w:p>
        </w:tc>
        <w:tc>
          <w:tcPr>
            <w:tcW w:w="918" w:type="dxa"/>
          </w:tcPr>
          <w:p w:rsidR="00521507" w:rsidRDefault="00E71AB7">
            <w:pPr>
              <w:jc w:val="center"/>
            </w:pPr>
            <w:r>
              <w:t>25</w:t>
            </w:r>
          </w:p>
        </w:tc>
      </w:tr>
    </w:tbl>
    <w:p w:rsidR="00521507" w:rsidRDefault="00521507">
      <w:pPr>
        <w:jc w:val="left"/>
      </w:pPr>
    </w:p>
    <w:p w:rsidR="00521507" w:rsidRDefault="00E71AB7">
      <w:pPr>
        <w:pStyle w:val="Heading4"/>
      </w:pPr>
      <w:r>
        <w:t>A622151 PROGRAMSKO FINANCIRANJE JAVNIH INSTITUTA – IZ EVIDENCIJSKIH PRIHODA</w:t>
      </w:r>
    </w:p>
    <w:p w:rsidR="00521507" w:rsidRDefault="00E71AB7">
      <w:pPr>
        <w:pStyle w:val="Heading8"/>
        <w:jc w:val="left"/>
      </w:pPr>
      <w:r>
        <w:t>Zakonske i druge pravne osnove</w:t>
      </w:r>
    </w:p>
    <w:p w:rsidR="00521507" w:rsidRDefault="00E71AB7">
      <w:r>
        <w:t>Zakon o proračunu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8"/>
        <w:gridCol w:w="1553"/>
        <w:gridCol w:w="1525"/>
        <w:gridCol w:w="1570"/>
        <w:gridCol w:w="1560"/>
        <w:gridCol w:w="1560"/>
        <w:gridCol w:w="970"/>
      </w:tblGrid>
      <w:tr w:rsidR="00521507">
        <w:trPr>
          <w:jc w:val="center"/>
        </w:trPr>
        <w:tc>
          <w:tcPr>
            <w:tcW w:w="1530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521507">
        <w:trPr>
          <w:jc w:val="center"/>
        </w:trPr>
        <w:tc>
          <w:tcPr>
            <w:tcW w:w="1530" w:type="dxa"/>
            <w:vAlign w:val="top"/>
          </w:tcPr>
          <w:p w:rsidR="00521507" w:rsidRDefault="00E71AB7">
            <w:pPr>
              <w:pStyle w:val="CellColumn"/>
              <w:jc w:val="left"/>
            </w:pPr>
            <w:r>
              <w:rPr>
                <w:rFonts w:cs="Times New Roman"/>
              </w:rPr>
              <w:t>A622151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00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00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10.713.067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8.385.025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6.715.497</w:t>
            </w:r>
          </w:p>
        </w:tc>
        <w:tc>
          <w:tcPr>
            <w:tcW w:w="510" w:type="dxa"/>
            <w:vAlign w:val="top"/>
          </w:tcPr>
          <w:p w:rsidR="00521507" w:rsidRDefault="00E71AB7">
            <w:pPr>
              <w:jc w:val="right"/>
            </w:pPr>
            <w:r>
              <w:t>0,0</w:t>
            </w:r>
          </w:p>
        </w:tc>
      </w:tr>
    </w:tbl>
    <w:p w:rsidR="00521507" w:rsidRDefault="00521507">
      <w:pPr>
        <w:jc w:val="left"/>
      </w:pPr>
    </w:p>
    <w:p w:rsidR="00521507" w:rsidRDefault="00E71AB7">
      <w:r>
        <w:t xml:space="preserve">U okviru ove aktivnosti planiraju se sredstva koja se osiguravaju iz evidencijskih prihoda za sve tri komponente programskog financiranja te se ista sastoji od sljedećih elemenata/podaktivnosti 25 javnih instituta: </w:t>
      </w:r>
    </w:p>
    <w:p w:rsidR="00521507" w:rsidRDefault="00E71AB7">
      <w:r>
        <w:t>1. Rashodi i izdaci za redovnu djelatnost koji se financiraju iz vlastitih prihoda javnih instituta odnosno prihoda koje isti  ostvaruju obavljanjem poslova na tržištu i u tržišnim uvjetima, a koje poslove mogu obavljati i drugi subjekti izvan općeg prorač</w:t>
      </w:r>
      <w:r>
        <w:t xml:space="preserve">una primjerice od znanstveno-istraživačkih i stručnih projekata, elaborata i ekspertiza, ostalih poslova ugovorenih na nacionalnom i međunarodnom tržištu i u tržišnim uvjetima, iznajmljivanja prostora i dr.  </w:t>
      </w:r>
    </w:p>
    <w:p w:rsidR="00521507" w:rsidRDefault="00E71AB7">
      <w:r>
        <w:t xml:space="preserve">2. Rashodi i izdaci za redovnu djelatnost koji </w:t>
      </w:r>
      <w:r>
        <w:t xml:space="preserve">se financiraju iz namjenskih prihoda korisnika, a koji se najvećim dijelom ostvaruju od Hrvatske zaklade za znanost, ali i od donacija te pomoći iz inozemstva i unutar općeg proračuna.  </w:t>
      </w:r>
    </w:p>
    <w:p w:rsidR="00521507" w:rsidRDefault="00E71AB7">
      <w:r>
        <w:t xml:space="preserve">Za financiranje redovne djelatnosti iz vlastitih i namjenskih izvora </w:t>
      </w:r>
      <w:r>
        <w:t xml:space="preserve">financiranja u 2024. planirana su sredstva u iznosu od 3,295,936 EUR za plaće zaposlenika, 3,537,209 EUR za materijalne rashode, 1,548,432 EUR za rashode za nabavu nefinancijske imovine te za ostale rashode i izdatke iznos od 319,639 EUR. </w:t>
      </w:r>
    </w:p>
    <w:p w:rsidR="00521507" w:rsidRDefault="00E71AB7">
      <w:r>
        <w:t xml:space="preserve">Za financiranje </w:t>
      </w:r>
      <w:r>
        <w:t>redovne djelatnosti iz vlastitih i namjenskih izvora financiranja u 2025. planirana su sredstva u iznosu od 2,460,350 EUR za plaće zaposlenika, 2,765,815 EUR za materijalne rashode,  889,162 EUR za rashode za nabavu nefinancijske imovine te za ostale rasho</w:t>
      </w:r>
      <w:r>
        <w:t xml:space="preserve">de i izdatke iznos od 263,800 EUR. </w:t>
      </w:r>
    </w:p>
    <w:p w:rsidR="00521507" w:rsidRDefault="00E71AB7">
      <w:r>
        <w:t>Za financiranje redovne djelatnosti iz vlastitih i namjenskih izvora financiranja u 2026. planirana su sredstva u iznosu od 1,678,530 EUR za plaće zaposlenika, 2,283,036 EUR za materijalne rashode,  466,158 EUR za rashod</w:t>
      </w:r>
      <w:r>
        <w:t>e za nabavu nefinancijske imovine te za ostale rashode i izdatke iznos od 281,875 EUR.</w:t>
      </w:r>
    </w:p>
    <w:p w:rsidR="00521507" w:rsidRDefault="00E71AB7">
      <w:pPr>
        <w:pStyle w:val="Heading4"/>
      </w:pPr>
      <w:r>
        <w:t>A622152 PROGRAMSKO FINANCIRANJE JAVNIH INSTITUTA  - IZ STRUKTURNIH I INVESTICIJSKIH FONDOVA EU</w:t>
      </w:r>
    </w:p>
    <w:p w:rsidR="00521507" w:rsidRDefault="00E71AB7">
      <w:pPr>
        <w:pStyle w:val="Heading8"/>
        <w:jc w:val="left"/>
      </w:pPr>
      <w:r>
        <w:t>Zakonske i druge pravne osnove</w:t>
      </w:r>
    </w:p>
    <w:p w:rsidR="00521507" w:rsidRDefault="00E71AB7">
      <w:r>
        <w:t>Nacionalni plan oporavka i otpornosti 2021.</w:t>
      </w:r>
      <w:r>
        <w:t>-2026. (NPOO), komponenta C3.2, prema reformama, investicijama te samim aktivnostima i njihovim vremenskim okvirima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5"/>
        <w:gridCol w:w="1550"/>
        <w:gridCol w:w="1520"/>
        <w:gridCol w:w="1567"/>
        <w:gridCol w:w="1567"/>
        <w:gridCol w:w="1567"/>
        <w:gridCol w:w="970"/>
      </w:tblGrid>
      <w:tr w:rsidR="00521507">
        <w:trPr>
          <w:jc w:val="center"/>
        </w:trPr>
        <w:tc>
          <w:tcPr>
            <w:tcW w:w="1530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521507">
        <w:trPr>
          <w:jc w:val="center"/>
        </w:trPr>
        <w:tc>
          <w:tcPr>
            <w:tcW w:w="1530" w:type="dxa"/>
            <w:vAlign w:val="top"/>
          </w:tcPr>
          <w:p w:rsidR="00521507" w:rsidRDefault="00E71AB7">
            <w:pPr>
              <w:pStyle w:val="CellColumn"/>
              <w:jc w:val="left"/>
            </w:pPr>
            <w:r>
              <w:rPr>
                <w:rFonts w:cs="Times New Roman"/>
              </w:rPr>
              <w:t>A622152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00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00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42.017.593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26.378.000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22.659.653</w:t>
            </w:r>
          </w:p>
        </w:tc>
        <w:tc>
          <w:tcPr>
            <w:tcW w:w="510" w:type="dxa"/>
            <w:vAlign w:val="top"/>
          </w:tcPr>
          <w:p w:rsidR="00521507" w:rsidRDefault="00E71AB7">
            <w:pPr>
              <w:jc w:val="right"/>
            </w:pPr>
            <w:r>
              <w:t>0,0</w:t>
            </w:r>
          </w:p>
        </w:tc>
      </w:tr>
    </w:tbl>
    <w:p w:rsidR="00521507" w:rsidRDefault="00521507">
      <w:pPr>
        <w:jc w:val="left"/>
      </w:pPr>
    </w:p>
    <w:p w:rsidR="00521507" w:rsidRDefault="00E71AB7">
      <w:r>
        <w:t>S ove aktivnosti financirat će se provedba reformi planiranih u sklopu Nacionalnog plana oporavka i otpornosti 2021.-2026.koje se odnose na aktivnosti: razvoj i provedbu sustava programskih sporazuma za financiranje sveučilišta i znanstven</w:t>
      </w:r>
      <w:r>
        <w:t>ih instituta, financiranje infrastrukturnih projekata za jačanje institucionalnih kapaciteta sveučilišta i znanstvenih instituta, uspostavu novog okvira za napredovanje i razvoj karijera istraživača te provedbu novih programa, ulaganje u istraživačko-tehno</w:t>
      </w:r>
      <w:r>
        <w:t>lošku infrastrukturu u STEM i ICT područjima, uspostavu funkcionalnijeg programskog okvira projektnog financiranja IRI te provedbu novih kompetitivnih IRI programa.</w:t>
      </w:r>
    </w:p>
    <w:p w:rsidR="00521507" w:rsidRDefault="00E71AB7">
      <w:pPr>
        <w:pStyle w:val="Heading4"/>
      </w:pPr>
      <w:r>
        <w:t>A622153 SAMOSTALNA DJELATNOST JAVNIH INSTITUTA – IZ EVIDENCIJSKIH PRIHODA</w:t>
      </w:r>
    </w:p>
    <w:p w:rsidR="00521507" w:rsidRDefault="00E71AB7">
      <w:pPr>
        <w:pStyle w:val="Heading8"/>
        <w:jc w:val="left"/>
      </w:pPr>
      <w:r>
        <w:t xml:space="preserve">Zakonske i druge </w:t>
      </w:r>
      <w:r>
        <w:t>pravne osnove</w:t>
      </w:r>
    </w:p>
    <w:p w:rsidR="00521507" w:rsidRDefault="00E71AB7">
      <w:r>
        <w:t>Zakon o proračunu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5"/>
        <w:gridCol w:w="1550"/>
        <w:gridCol w:w="1520"/>
        <w:gridCol w:w="1567"/>
        <w:gridCol w:w="1567"/>
        <w:gridCol w:w="1567"/>
        <w:gridCol w:w="970"/>
      </w:tblGrid>
      <w:tr w:rsidR="00521507">
        <w:trPr>
          <w:jc w:val="center"/>
        </w:trPr>
        <w:tc>
          <w:tcPr>
            <w:tcW w:w="1530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521507">
        <w:trPr>
          <w:jc w:val="center"/>
        </w:trPr>
        <w:tc>
          <w:tcPr>
            <w:tcW w:w="1530" w:type="dxa"/>
            <w:vAlign w:val="top"/>
          </w:tcPr>
          <w:p w:rsidR="00521507" w:rsidRDefault="00E71AB7">
            <w:pPr>
              <w:pStyle w:val="CellColumn"/>
              <w:jc w:val="left"/>
            </w:pPr>
            <w:r>
              <w:rPr>
                <w:rFonts w:cs="Times New Roman"/>
              </w:rPr>
              <w:t>A622153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00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00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30.544.731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27.186.671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24.299.519</w:t>
            </w:r>
          </w:p>
        </w:tc>
        <w:tc>
          <w:tcPr>
            <w:tcW w:w="510" w:type="dxa"/>
            <w:vAlign w:val="top"/>
          </w:tcPr>
          <w:p w:rsidR="00521507" w:rsidRDefault="00E71AB7">
            <w:pPr>
              <w:jc w:val="right"/>
            </w:pPr>
            <w:r>
              <w:t>0,0</w:t>
            </w:r>
          </w:p>
        </w:tc>
      </w:tr>
    </w:tbl>
    <w:p w:rsidR="00521507" w:rsidRDefault="00521507">
      <w:pPr>
        <w:jc w:val="left"/>
      </w:pPr>
    </w:p>
    <w:p w:rsidR="00521507" w:rsidRDefault="00E71AB7">
      <w:r>
        <w:t xml:space="preserve">U okviru ove aktivnosti planiraju se sredstva koja nisu obuhvaćena ugovorom o programskom financiranju, a financiraju se iz evidencijskih prihoda te se ista sastoji od sljedećih elemenata/podaktivnosti 25 javnih instituta: </w:t>
      </w:r>
    </w:p>
    <w:p w:rsidR="00521507" w:rsidRDefault="00E71AB7">
      <w:r>
        <w:t>1. Rashodi i izdaci za redovnu d</w:t>
      </w:r>
      <w:r>
        <w:t>jelatnost koji se financiraju iz vlastitih prihoda javnih instituta odnosno prihoda koje isti  ostvaruju obavljanjem poslova na tržištu i u tržišnim uvjetima, a koje poslove mogu obavljati i drugi subjekti izvan općeg proračuna primjerice od znanstveno-ist</w:t>
      </w:r>
      <w:r>
        <w:t xml:space="preserve">raživačkih i stručnih projekata, elaborata i ekspertiza, ostalih poslova ugovorenih na nacionalnom i međunarodnom tržištu i u tržišnim uvjetima, iznajmljivanja prostora i dr.  </w:t>
      </w:r>
    </w:p>
    <w:p w:rsidR="00521507" w:rsidRDefault="00E71AB7">
      <w:r>
        <w:t>2. Rashodi i izdaci za redovnu djelatnost koji se financiraju iz namjenskih pri</w:t>
      </w:r>
      <w:r>
        <w:t xml:space="preserve">hoda korisnika, a koji se najvećim dijelom ostvaruju od Hrvatske zaklade za znanost, ali i od donacija te pomoći iz inozemstva i unutar općeg proračuna.  </w:t>
      </w:r>
    </w:p>
    <w:p w:rsidR="00521507" w:rsidRDefault="00E71AB7">
      <w:r>
        <w:t>Za financiranje redovne djelatnosti iz vlastitih i namjenskih izvora financiranja u 2024. planirana s</w:t>
      </w:r>
      <w:r>
        <w:t xml:space="preserve">u sredstva u iznosu od 8,757,516 EUR za plaće zaposlenika, 18,592,893 EUR za materijalne rashode, 3,010,328 EUR za rashode za nabavu nefinancijske imovine te za ostale rashode i izdatke iznos od 183,994 EUR. </w:t>
      </w:r>
    </w:p>
    <w:p w:rsidR="00521507" w:rsidRDefault="00E71AB7">
      <w:r>
        <w:t>Za financiranje redovne djelatnosti iz vlastiti</w:t>
      </w:r>
      <w:r>
        <w:t>h i namjenskih izvora financiranja u 2025. planirana su sredstva u iznosu od 7,504,529 EUR za plaće zaposlenika, 17,604,255 EUR za materijalne rashode,  1,915,276 EUR za rashode za nabavu nefinancijske imovine te za ostale rashode i izdatke iznos od 162,61</w:t>
      </w:r>
      <w:r>
        <w:t xml:space="preserve">1 EUR. </w:t>
      </w:r>
    </w:p>
    <w:p w:rsidR="00521507" w:rsidRDefault="00E71AB7">
      <w:r>
        <w:t>Za financiranje redovne djelatnosti iz vlastitih i namjenskih izvora financiranja u 2026. planirana su sredstva u iznosu od 6,335,882 EUR za plaće zaposlenika, 16,547,356 EUR za materijalne rashode,  1,274,900 EUR za rashode za nabavu nefinancijske</w:t>
      </w:r>
      <w:r>
        <w:t xml:space="preserve"> imovine te za ostale rashode i izdatke iznos od 141,381 EUR.</w:t>
      </w:r>
    </w:p>
    <w:p w:rsidR="00521507" w:rsidRDefault="00E71AB7">
      <w:pPr>
        <w:pStyle w:val="Heading4"/>
      </w:pPr>
      <w:r>
        <w:t>K622138 OBNOVA INFRASTRUKTURE I OPREME U PODRUČJU OBRAZOVANJA OŠTEĆENE POTRESOM</w:t>
      </w:r>
    </w:p>
    <w:p w:rsidR="00521507" w:rsidRDefault="00E71AB7">
      <w:pPr>
        <w:pStyle w:val="Heading8"/>
        <w:jc w:val="left"/>
      </w:pPr>
      <w:r>
        <w:t>Zakonske i druge pravne osnove</w:t>
      </w:r>
    </w:p>
    <w:p w:rsidR="00521507" w:rsidRDefault="00E71AB7">
      <w:r>
        <w:t>Odluka Vlade Republike Hrvatske o načinu raspodjele bespovratnih financijskih sreds</w:t>
      </w:r>
      <w:r>
        <w:t>tava iz Fonda solidarnosti Europske unije odobrenih za financiranje sanacije šteta od potresa na području Grada Zagreba, Krapinsko-zagorske županije i Zagrebačke županije, te o imenovanju i određivanju zaduženja nacionalnog koordinacijskog tijela, tijela o</w:t>
      </w:r>
      <w:r>
        <w:t>dgovornih za provedbu financijskog doprinosa i neovisnog revizorskog tijela.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1"/>
        <w:gridCol w:w="1565"/>
        <w:gridCol w:w="1565"/>
        <w:gridCol w:w="1542"/>
        <w:gridCol w:w="1551"/>
        <w:gridCol w:w="1542"/>
        <w:gridCol w:w="970"/>
      </w:tblGrid>
      <w:tr w:rsidR="00521507">
        <w:trPr>
          <w:jc w:val="center"/>
        </w:trPr>
        <w:tc>
          <w:tcPr>
            <w:tcW w:w="1530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521507">
        <w:trPr>
          <w:jc w:val="center"/>
        </w:trPr>
        <w:tc>
          <w:tcPr>
            <w:tcW w:w="1530" w:type="dxa"/>
            <w:vAlign w:val="top"/>
          </w:tcPr>
          <w:p w:rsidR="00521507" w:rsidRDefault="00E71AB7">
            <w:pPr>
              <w:pStyle w:val="CellColumn"/>
              <w:jc w:val="left"/>
            </w:pPr>
            <w:r>
              <w:rPr>
                <w:rFonts w:cs="Times New Roman"/>
              </w:rPr>
              <w:t>K622138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2.387.540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1.596.198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86.679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172.579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98.338</w:t>
            </w:r>
          </w:p>
        </w:tc>
        <w:tc>
          <w:tcPr>
            <w:tcW w:w="510" w:type="dxa"/>
            <w:vAlign w:val="top"/>
          </w:tcPr>
          <w:p w:rsidR="00521507" w:rsidRDefault="00E71AB7">
            <w:pPr>
              <w:jc w:val="right"/>
            </w:pPr>
            <w:r>
              <w:t>5,4</w:t>
            </w:r>
          </w:p>
        </w:tc>
      </w:tr>
    </w:tbl>
    <w:p w:rsidR="00521507" w:rsidRDefault="00521507">
      <w:pPr>
        <w:jc w:val="left"/>
      </w:pPr>
    </w:p>
    <w:p w:rsidR="00521507" w:rsidRDefault="00E71AB7">
      <w:r>
        <w:t xml:space="preserve">Svrha aktivnosti je nadoknada sredstava projektima u području znanosti i obrazovanja za provedene hitne mjere zaštite, usluga utvrđivanja stanja, izrade snimki zatečenog stanja, izrada dokumentacije za provedbu i sama provedba dovođenja zgrada u prijašnje </w:t>
      </w:r>
      <w:r>
        <w:t>stanje ili cjelovite obnove koja podrazumijeva dodatno poboljšanje konstrukcija uz prilagodbu suvremenim standardima zgrada oštećenih u potresu 22. ožujka 2020. godine na području Grada Zagreba, Krapinsko-zagorske županije i Zagrebačke županije te izvođenj</w:t>
      </w:r>
      <w:r>
        <w:t xml:space="preserve">e radova osiguranja i stabiliziranja oštećenih dobara. </w:t>
      </w:r>
    </w:p>
    <w:p w:rsidR="00521507" w:rsidRDefault="00E71AB7">
      <w:r>
        <w:t>Sa izvora 11 u sklopu ove aktivnosti financirat će se troškovi konstrukcijske obnove koji nisu dospjeli do 30.6.2023.</w:t>
      </w:r>
    </w:p>
    <w:p w:rsidR="00521507" w:rsidRDefault="00E71AB7">
      <w:pPr>
        <w:pStyle w:val="Heading4"/>
      </w:pPr>
      <w:r>
        <w:t>K622139 OBNOVA ZGRADA OŠTEĆENIH U POTRESU S ENERGETSKOM OBNOVOM - NPOO (C6.1.R1-I2)</w:t>
      </w:r>
    </w:p>
    <w:p w:rsidR="00521507" w:rsidRDefault="00E71AB7">
      <w:pPr>
        <w:pStyle w:val="Heading8"/>
        <w:jc w:val="left"/>
      </w:pPr>
      <w:r>
        <w:t>Zakonske i druge pravne osnove</w:t>
      </w:r>
    </w:p>
    <w:p w:rsidR="00521507" w:rsidRDefault="00E71AB7">
      <w:r>
        <w:t>Provedbena odluka vijeća o odobrenju ocjene plana za oporavak i otpornost Hrvatske (10687/21), Odluka Vlade Republike Hrvatske o načinu raspo</w:t>
      </w:r>
      <w:r>
        <w:t>djele bespovratnih financijskih sredstava iz Fonda solidarnosti Europske unije odobrenih za financiranje sanacije šteta od potresa na području Grada Zagreba, Krapinsko-zagorske županije i Zagrebačke županije, te o imenovanju i određivanju zaduženja naciona</w:t>
      </w:r>
      <w:r>
        <w:t xml:space="preserve">lnog koordinacijskog tijela, tijela odgovornih za provedbu financijskog doprinosa i neovisnog revizorskog tijela.  </w:t>
      </w:r>
    </w:p>
    <w:p w:rsidR="00521507" w:rsidRDefault="00E71AB7">
      <w:r>
        <w:t>Odluka o načinu raspodjele bespovratnih financijskih sredstava iz Fonda solidarnosti Europske unije za financiranje sanacije šteta od potres</w:t>
      </w:r>
      <w:r>
        <w:t>a na području Grada Zagreba, Krapinsko-zagorske županije, Zagrebačke županije, Sisačko-moslavačke županije, Karlovačke županije, Varaždinske županije, Međimurske županije, Brodsko-posavske županije i Bjelovarsko-bilogorske županije, imenovanju i određivanj</w:t>
      </w:r>
      <w:r>
        <w:t>u zaduženja nacionalnog koordinacijskog tijela, tijela odgovornih za provedbu financijskog doprinosa i neovisnog revizorskog tijela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1"/>
        <w:gridCol w:w="1566"/>
        <w:gridCol w:w="1552"/>
        <w:gridCol w:w="1552"/>
        <w:gridCol w:w="1552"/>
        <w:gridCol w:w="1543"/>
        <w:gridCol w:w="970"/>
      </w:tblGrid>
      <w:tr w:rsidR="00521507">
        <w:trPr>
          <w:jc w:val="center"/>
        </w:trPr>
        <w:tc>
          <w:tcPr>
            <w:tcW w:w="1530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521507">
        <w:trPr>
          <w:jc w:val="center"/>
        </w:trPr>
        <w:tc>
          <w:tcPr>
            <w:tcW w:w="1530" w:type="dxa"/>
            <w:vAlign w:val="top"/>
          </w:tcPr>
          <w:p w:rsidR="00521507" w:rsidRDefault="00E71AB7">
            <w:pPr>
              <w:pStyle w:val="CellColumn"/>
              <w:jc w:val="left"/>
            </w:pPr>
            <w:r>
              <w:rPr>
                <w:rFonts w:cs="Times New Roman"/>
              </w:rPr>
              <w:t>K622139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1.066.654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308.596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388.321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485.401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97.080</w:t>
            </w:r>
          </w:p>
        </w:tc>
        <w:tc>
          <w:tcPr>
            <w:tcW w:w="510" w:type="dxa"/>
            <w:vAlign w:val="top"/>
          </w:tcPr>
          <w:p w:rsidR="00521507" w:rsidRDefault="00E71AB7">
            <w:pPr>
              <w:jc w:val="right"/>
            </w:pPr>
            <w:r>
              <w:t>125,8</w:t>
            </w:r>
          </w:p>
        </w:tc>
      </w:tr>
    </w:tbl>
    <w:p w:rsidR="00521507" w:rsidRDefault="00521507">
      <w:pPr>
        <w:jc w:val="left"/>
      </w:pPr>
    </w:p>
    <w:p w:rsidR="00521507" w:rsidRDefault="00E71AB7">
      <w:r>
        <w:t>Svrha aktivnosti je nadoknada sredstava projektima u području znanosti i obrazovanja za provedene hitne mjere zaštite, usluga utvrđivanja stanja, izrade snimki zatečenog stanja, izrada dokumentacije za provedbu i sama provedb</w:t>
      </w:r>
      <w:r>
        <w:t>a dovođenja zgrada u prijašnje stanje ili cjelovite obnove koja podrazumijeva dodatno poboljšanje konstrukcija uz prilagodbu suvremenim standardima zgrada oštećenih u potresu 22. ožujka 2020. godine (na području Grada Zagreba, Krapinsko-zagorske županije i</w:t>
      </w:r>
      <w:r>
        <w:t xml:space="preserve"> Zagrebačke županije) te u seriji potresa od 28. prosinca 2020. godine (na području Grada Zagreba, Krapinsko-zagorske županije, Zagrebačke županije, Sisačko-moslavačke županije, Karlovačke županije, Varaždinske županije, Međimurske županije, Brodsko-posavs</w:t>
      </w:r>
      <w:r>
        <w:t xml:space="preserve">ke županije i Bjelovarsko-bilogorske županije) te izvođenje radova osiguranja i stabiliziranja oštećenih dobara.   </w:t>
      </w:r>
    </w:p>
    <w:p w:rsidR="00521507" w:rsidRDefault="00E71AB7">
      <w:r>
        <w:t>Sredstva će se koristiti iz komponente 6. „Obnova zgrada“, C6.1. R1-I2 „Obnova zgrada oštećenih u potresu s energetskom obnovom “ Nacionalno</w:t>
      </w:r>
      <w:r>
        <w:t xml:space="preserve">g plana oporavka i otpornosti 2021. – 2026.   </w:t>
      </w:r>
    </w:p>
    <w:p w:rsidR="00521507" w:rsidRDefault="00E71AB7">
      <w:r>
        <w:t>Planirana sredstva potrebna za provedbu projekata  su izračunata na temelju dinamike provedbe projekata i planova budućih potraživanja od Korisnika (ZNS).</w:t>
      </w:r>
    </w:p>
    <w:p w:rsidR="00521507" w:rsidRDefault="00E71AB7">
      <w:pPr>
        <w:pStyle w:val="Heading4"/>
      </w:pPr>
      <w:r>
        <w:t>K622144 OBNOVA INFRASTRUKTURE U PODRUČJU OBRAZOVANJA O</w:t>
      </w:r>
      <w:r>
        <w:t>ŠTEĆENE POTRESOM FSEU.2022.MZO</w:t>
      </w:r>
    </w:p>
    <w:p w:rsidR="00521507" w:rsidRDefault="00E71AB7">
      <w:pPr>
        <w:pStyle w:val="Heading8"/>
        <w:jc w:val="left"/>
      </w:pPr>
      <w:r>
        <w:t>Zakonske i druge pravne osnove</w:t>
      </w:r>
    </w:p>
    <w:p w:rsidR="00521507" w:rsidRDefault="00E71AB7">
      <w:r>
        <w:t>Odluka o načinu raspodjele bespovratnih financijskih sredstava iz Fonda solidarnosti Europske unije za financiranje sanacije šteta od potresa na području Grada Zagreba, Krapinsko-zagorske župani</w:t>
      </w:r>
      <w:r>
        <w:t>je, Zagrebačke županije, Sisačko-moslavačke županije, Karlovačke županije, Varaždinske županije, Međimurske županije, Brodsko-posavske županije i Bjelovarsko-bilogorske županije, imenovanju i određivanju zaduženja nacionalnog koordinacijskog tijela, tijela</w:t>
      </w:r>
      <w:r>
        <w:t xml:space="preserve"> odgovornih za provedbu financijskog doprinosa i neovisnog revizorskog tijela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3"/>
        <w:gridCol w:w="1559"/>
        <w:gridCol w:w="1551"/>
        <w:gridCol w:w="1551"/>
        <w:gridCol w:w="1551"/>
        <w:gridCol w:w="1551"/>
        <w:gridCol w:w="970"/>
      </w:tblGrid>
      <w:tr w:rsidR="00521507">
        <w:trPr>
          <w:jc w:val="center"/>
        </w:trPr>
        <w:tc>
          <w:tcPr>
            <w:tcW w:w="1530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521507" w:rsidRDefault="00E71AB7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521507">
        <w:trPr>
          <w:jc w:val="center"/>
        </w:trPr>
        <w:tc>
          <w:tcPr>
            <w:tcW w:w="1530" w:type="dxa"/>
            <w:vAlign w:val="top"/>
          </w:tcPr>
          <w:p w:rsidR="00521507" w:rsidRDefault="00E71AB7">
            <w:pPr>
              <w:pStyle w:val="CellColumn"/>
              <w:jc w:val="left"/>
            </w:pPr>
            <w:r>
              <w:rPr>
                <w:rFonts w:cs="Times New Roman"/>
              </w:rPr>
              <w:t>K622144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00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425.050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312.809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345.334</w:t>
            </w:r>
          </w:p>
        </w:tc>
        <w:tc>
          <w:tcPr>
            <w:tcW w:w="1632" w:type="dxa"/>
            <w:vAlign w:val="top"/>
          </w:tcPr>
          <w:p w:rsidR="00521507" w:rsidRDefault="00E71AB7">
            <w:pPr>
              <w:jc w:val="right"/>
            </w:pPr>
            <w:r>
              <w:t>317.225</w:t>
            </w:r>
          </w:p>
        </w:tc>
        <w:tc>
          <w:tcPr>
            <w:tcW w:w="510" w:type="dxa"/>
            <w:vAlign w:val="top"/>
          </w:tcPr>
          <w:p w:rsidR="00521507" w:rsidRDefault="00E71AB7">
            <w:pPr>
              <w:jc w:val="right"/>
            </w:pPr>
            <w:r>
              <w:t>73,6</w:t>
            </w:r>
          </w:p>
        </w:tc>
      </w:tr>
    </w:tbl>
    <w:p w:rsidR="00521507" w:rsidRDefault="00521507">
      <w:pPr>
        <w:jc w:val="left"/>
      </w:pPr>
    </w:p>
    <w:p w:rsidR="00521507" w:rsidRDefault="00E71AB7">
      <w:r>
        <w:t xml:space="preserve">Svrha aktivnosti je nadoknada sredstava projektima u području znanosti i obrazovanja za provedene hitne mjere zaštite, usluga utvrđivanja stanja, izrade snimki zatečenog stanja, izrada dokumentacije za provedbu i sama provedba dovođenja zgrada u prijašnje </w:t>
      </w:r>
      <w:r>
        <w:t>stanje ili cjelovite obnove koja podrazumijeva dodatno poboljšanje konstrukcija uz prilagodbu suvremenim standardima zgrada oštećenih u seriji potresa od 28. prosinca 2020. godine (na području Grada Zagreba, Krapinsko-zagorske županije, Zagrebačke županije</w:t>
      </w:r>
      <w:r>
        <w:t xml:space="preserve">, Sisačko-moslavačke županije, Karlovačke županije, Varaždinske županije, Međimurske županije, Brodsko-posavske županije i Bjelovarsko-bilogorske županije) te izvođenje radova osiguranja i stabiliziranja oštećenih dobara. </w:t>
      </w:r>
    </w:p>
    <w:p w:rsidR="00521507" w:rsidRDefault="00E71AB7">
      <w:r>
        <w:t>Sa izvora 11 u sklopu ove aktivno</w:t>
      </w:r>
      <w:r>
        <w:t>sti financirat će se troškovi konstrukcijske obnove koji nisu dospjeli do 30.6.2023.</w:t>
      </w:r>
    </w:p>
    <w:sectPr w:rsidR="00521507" w:rsidSect="00F91724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AB7" w:rsidRDefault="00E71AB7" w:rsidP="00F352E6">
      <w:r>
        <w:separator/>
      </w:r>
    </w:p>
  </w:endnote>
  <w:endnote w:type="continuationSeparator" w:id="0">
    <w:p w:rsidR="00E71AB7" w:rsidRDefault="00E71AB7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98" w:rsidRPr="00D769ED" w:rsidRDefault="00E71AB7" w:rsidP="007D4430">
    <w:pPr>
      <w:pStyle w:val="Footer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AB7" w:rsidRDefault="00E71AB7" w:rsidP="00F352E6">
      <w:r>
        <w:separator/>
      </w:r>
    </w:p>
  </w:footnote>
  <w:footnote w:type="continuationSeparator" w:id="0">
    <w:p w:rsidR="00E71AB7" w:rsidRDefault="00E71AB7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98" w:rsidRDefault="00E71AB7" w:rsidP="00A70582">
    <w:pPr>
      <w:pStyle w:val="Header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76"/>
    <w:rsid w:val="00013A1A"/>
    <w:rsid w:val="0002533C"/>
    <w:rsid w:val="000352D6"/>
    <w:rsid w:val="000C0A6C"/>
    <w:rsid w:val="0010779D"/>
    <w:rsid w:val="0013155A"/>
    <w:rsid w:val="001564FB"/>
    <w:rsid w:val="0017490A"/>
    <w:rsid w:val="001E5246"/>
    <w:rsid w:val="0027042C"/>
    <w:rsid w:val="00311AA1"/>
    <w:rsid w:val="00382225"/>
    <w:rsid w:val="00386953"/>
    <w:rsid w:val="00463609"/>
    <w:rsid w:val="00480C76"/>
    <w:rsid w:val="004C01B5"/>
    <w:rsid w:val="00521507"/>
    <w:rsid w:val="0052289C"/>
    <w:rsid w:val="00524A66"/>
    <w:rsid w:val="00526A7C"/>
    <w:rsid w:val="005A70C0"/>
    <w:rsid w:val="005B6ED7"/>
    <w:rsid w:val="005E2D85"/>
    <w:rsid w:val="00633683"/>
    <w:rsid w:val="00674346"/>
    <w:rsid w:val="006B3283"/>
    <w:rsid w:val="007665AA"/>
    <w:rsid w:val="007A7E45"/>
    <w:rsid w:val="007D1C46"/>
    <w:rsid w:val="007D395B"/>
    <w:rsid w:val="007D4430"/>
    <w:rsid w:val="00847495"/>
    <w:rsid w:val="008636E2"/>
    <w:rsid w:val="008A7E2A"/>
    <w:rsid w:val="009359F2"/>
    <w:rsid w:val="0094382E"/>
    <w:rsid w:val="00951B1A"/>
    <w:rsid w:val="009E33D3"/>
    <w:rsid w:val="00A021A2"/>
    <w:rsid w:val="00A320E5"/>
    <w:rsid w:val="00A70582"/>
    <w:rsid w:val="00AB5FEA"/>
    <w:rsid w:val="00AB7B4E"/>
    <w:rsid w:val="00B15946"/>
    <w:rsid w:val="00B2737F"/>
    <w:rsid w:val="00B31E2E"/>
    <w:rsid w:val="00B41BF8"/>
    <w:rsid w:val="00BA487B"/>
    <w:rsid w:val="00BA7BD1"/>
    <w:rsid w:val="00BB642B"/>
    <w:rsid w:val="00BF02E9"/>
    <w:rsid w:val="00BF3F24"/>
    <w:rsid w:val="00C7470A"/>
    <w:rsid w:val="00DE2416"/>
    <w:rsid w:val="00E42E87"/>
    <w:rsid w:val="00E62EF0"/>
    <w:rsid w:val="00E71AB7"/>
    <w:rsid w:val="00ED0E3A"/>
    <w:rsid w:val="00F352E6"/>
    <w:rsid w:val="00F67315"/>
    <w:rsid w:val="00F91724"/>
    <w:rsid w:val="00F92AEE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D75BC-09A8-4A24-AF6B-EA09128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Heading1">
    <w:name w:val="heading 1"/>
    <w:basedOn w:val="Normal"/>
    <w:next w:val="Normal"/>
    <w:link w:val="Heading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Heading8">
    <w:name w:val="heading 8"/>
    <w:basedOn w:val="Normal6"/>
    <w:next w:val="Normal"/>
    <w:link w:val="Heading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Heading2Char">
    <w:name w:val="Heading 2 Char"/>
    <w:basedOn w:val="DefaultParagraphFont"/>
    <w:link w:val="Heading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Heading3Char">
    <w:name w:val="Heading 3 Char"/>
    <w:basedOn w:val="DefaultParagraphFont"/>
    <w:link w:val="Heading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Heading4Char">
    <w:name w:val="Heading 4 Char"/>
    <w:basedOn w:val="DefaultParagraphFont"/>
    <w:link w:val="Heading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Heading5Char">
    <w:name w:val="Heading 5 Char"/>
    <w:basedOn w:val="DefaultParagraphFont"/>
    <w:link w:val="Heading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Heading7Char">
    <w:name w:val="Heading 7 Char"/>
    <w:basedOn w:val="DefaultParagraphFont"/>
    <w:link w:val="Heading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Footer">
    <w:name w:val="footer"/>
    <w:basedOn w:val="Normal"/>
    <w:link w:val="Footer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PageNumber">
    <w:name w:val="page number"/>
    <w:basedOn w:val="DefaultParagraphFont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DefaultParagraphFont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DefaultParagraphFont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DefaultParagraphFont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Emphasis">
    <w:name w:val="Emphasis"/>
    <w:basedOn w:val="DefaultParagraphFont"/>
    <w:qFormat/>
    <w:rsid w:val="00480C76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480C76"/>
    <w:rPr>
      <w:b/>
      <w:bCs/>
    </w:rPr>
  </w:style>
  <w:style w:type="character" w:styleId="Hyperlink">
    <w:name w:val="Hyperlink"/>
    <w:basedOn w:val="DefaultParagraphFont"/>
    <w:rsid w:val="00480C76"/>
    <w:rPr>
      <w:color w:val="0000FF"/>
      <w:u w:val="single"/>
    </w:rPr>
  </w:style>
  <w:style w:type="table" w:styleId="TableGrid">
    <w:name w:val="Table Grid"/>
    <w:basedOn w:val="TableNormal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DefaultParagraphFont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Heading8Char">
    <w:name w:val="Heading 8 Char"/>
    <w:basedOn w:val="DefaultParagraphFont"/>
    <w:link w:val="Heading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TableNormal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TableNormal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D60C5-C7E7-4DE1-8D9D-E70F1338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Marasović</dc:creator>
  <cp:lastModifiedBy>Maja Budić</cp:lastModifiedBy>
  <cp:revision>2</cp:revision>
  <dcterms:created xsi:type="dcterms:W3CDTF">2024-02-27T14:12:00Z</dcterms:created>
  <dcterms:modified xsi:type="dcterms:W3CDTF">2024-02-27T14:12:00Z</dcterms:modified>
</cp:coreProperties>
</file>