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1D2237F1" w:rsidR="00267F71" w:rsidRPr="00635C1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1E3AE7A2" w14:textId="70374585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4C7" w:rsidRPr="00A854C7">
        <w:rPr>
          <w:rStyle w:val="Bodytext285pt"/>
          <w:rFonts w:eastAsiaTheme="minorHAnsi"/>
          <w:b/>
          <w:i/>
          <w:sz w:val="24"/>
        </w:rPr>
        <w:t>C3.2.R3-I1.01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2B2B9B" w:rsidRDefault="00533AAC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2. </w:t>
      </w:r>
    </w:p>
    <w:p w14:paraId="12CD0C02" w14:textId="77777777" w:rsidR="00267F71" w:rsidRPr="002B2B9B" w:rsidRDefault="00267F71" w:rsidP="00DB611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751756B" w14:textId="77777777" w:rsidR="00267F71" w:rsidRDefault="00267F71" w:rsidP="00DB6119"/>
    <w:p w14:paraId="0B128D86" w14:textId="77777777" w:rsidR="00267F71" w:rsidRPr="00267F71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A690935" w:rsidR="00267F71" w:rsidRPr="00267F71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1A9304A2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F4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77777777" w:rsid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Dokazivanje inovativnog koncepta,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5E1DCAFD" w14:textId="77777777" w:rsidR="00533AAC" w:rsidRDefault="00533AAC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0FAFE" w14:textId="58009E72" w:rsidR="00267F71" w:rsidRPr="00B80020" w:rsidRDefault="00533AAC" w:rsidP="00B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AC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B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1371C06B" w:rsidR="00267F71" w:rsidRPr="00267F71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0C177BE7" w:rsidR="00267F71" w:rsidRDefault="00DC1C6C" w:rsidP="003E55E1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od </w:t>
      </w:r>
      <w:r w:rsidR="00267F71" w:rsidRPr="003E55E1">
        <w:rPr>
          <w:rFonts w:ascii="Times New Roman" w:hAnsi="Times New Roman" w:cs="Times New Roman"/>
          <w:sz w:val="24"/>
          <w:szCs w:val="24"/>
        </w:rPr>
        <w:t>prijavitelj</w:t>
      </w:r>
      <w:r w:rsidRPr="003E55E1">
        <w:rPr>
          <w:rFonts w:ascii="Times New Roman" w:hAnsi="Times New Roman" w:cs="Times New Roman"/>
          <w:sz w:val="24"/>
          <w:szCs w:val="24"/>
        </w:rPr>
        <w:t>a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3E55E1">
        <w:rPr>
          <w:rFonts w:ascii="Times New Roman" w:hAnsi="Times New Roman" w:cs="Times New Roman"/>
          <w:sz w:val="24"/>
          <w:szCs w:val="24"/>
        </w:rPr>
        <w:t>;</w:t>
      </w:r>
    </w:p>
    <w:p w14:paraId="7BF90928" w14:textId="078BD496" w:rsidR="003E55E1" w:rsidRPr="003E55E1" w:rsidRDefault="003E55E1" w:rsidP="003E55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 je u teškoćama kako je definirano u članku 2. točki 18. Uredbe (EU) br. 651/2014 (nije primjenjivo na istraživačke organizacije);</w:t>
      </w:r>
    </w:p>
    <w:p w14:paraId="7DFC0091" w14:textId="23454D05" w:rsidR="003E55E1" w:rsidRPr="003E55E1" w:rsidRDefault="003E55E1" w:rsidP="003E55E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lastRenderedPageBreak/>
        <w:t>nad gospodarskim subjektom otvoren stečajni postupak, nesposoban je 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 prethodno navedenim postupcima;</w:t>
      </w:r>
    </w:p>
    <w:p w14:paraId="595A8303" w14:textId="3A4BE1FC" w:rsidR="00C10A07" w:rsidRPr="003E55E1" w:rsidRDefault="00C10A07" w:rsidP="003E55E1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>prijavitelj/partner koji nema poslovnu jedinicu ili podružnicu u RH do trenutka dodjele bespovratnih sredstava</w:t>
      </w:r>
      <w:r w:rsidR="003E55E1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51E263FE" w:rsidR="00267F71" w:rsidRPr="003E55E1" w:rsidRDefault="00267F71" w:rsidP="003E55E1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3E55E1">
        <w:rPr>
          <w:rFonts w:ascii="Times New Roman" w:hAnsi="Times New Roman" w:cs="Times New Roman"/>
          <w:sz w:val="24"/>
          <w:szCs w:val="24"/>
        </w:rPr>
        <w:t xml:space="preserve">je </w:t>
      </w:r>
      <w:r w:rsidRPr="003E55E1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77777777" w:rsidR="00422DA8" w:rsidRPr="00A13BB8" w:rsidRDefault="00422DA8" w:rsidP="00B80020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507FBBD7" w:rsidR="00267F71" w:rsidRPr="00B95D55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3E55E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7777777" w:rsidR="00267F71" w:rsidRPr="00B95D55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284EB70B" w:rsidR="00267F71" w:rsidRPr="00B95D55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77777777" w:rsidR="00267F71" w:rsidRPr="00B95D55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29ED2DF8" w14:textId="2ACB5D0C" w:rsidR="00533AAC" w:rsidRDefault="00267F71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DB6119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77777777" w:rsidR="00B95D55" w:rsidRDefault="00B95D5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1B9D4D7C" w:rsidR="00B95D55" w:rsidRDefault="00B95D55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>
        <w:rPr>
          <w:rFonts w:ascii="Times New Roman" w:hAnsi="Times New Roman" w:cs="Times New Roman"/>
          <w:sz w:val="24"/>
          <w:szCs w:val="24"/>
        </w:rPr>
        <w:t xml:space="preserve">, te da 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26263BCF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 w:rsidR="00CD78FE">
        <w:rPr>
          <w:rFonts w:ascii="Times New Roman" w:hAnsi="Times New Roman" w:cs="Times New Roman"/>
          <w:sz w:val="24"/>
          <w:szCs w:val="24"/>
        </w:rPr>
        <w:t xml:space="preserve">Uredbe o </w:t>
      </w:r>
      <w:r w:rsidR="00B95D55" w:rsidRPr="00B95D55">
        <w:rPr>
          <w:rFonts w:ascii="Times New Roman" w:hAnsi="Times New Roman" w:cs="Times New Roman"/>
          <w:sz w:val="24"/>
          <w:szCs w:val="24"/>
        </w:rPr>
        <w:t>popis</w:t>
      </w:r>
      <w:r w:rsidR="00CD78FE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CD78FE" w:rsidRPr="00CD78FE">
        <w:rPr>
          <w:rFonts w:ascii="Times New Roman" w:hAnsi="Times New Roman" w:cs="Times New Roman"/>
          <w:sz w:val="24"/>
          <w:szCs w:val="24"/>
        </w:rPr>
        <w:t>26/18, 37/18, 63/19</w:t>
      </w:r>
      <w:r w:rsidR="00CD78FE">
        <w:rPr>
          <w:rFonts w:ascii="Times New Roman" w:hAnsi="Times New Roman" w:cs="Times New Roman"/>
          <w:sz w:val="24"/>
          <w:szCs w:val="24"/>
        </w:rPr>
        <w:t>,</w:t>
      </w:r>
      <w:r w:rsidR="00CD78FE"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 w:rsidR="00CD78FE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58BAC8A5" w:rsidR="00267F71" w:rsidRPr="00267F71" w:rsidRDefault="00A43710" w:rsidP="00B80020">
      <w:pPr>
        <w:pStyle w:val="ListParagraph"/>
        <w:numPr>
          <w:ilvl w:val="0"/>
          <w:numId w:val="10"/>
        </w:numPr>
        <w:spacing w:after="160" w:line="259" w:lineRule="auto"/>
        <w:ind w:left="709" w:hanging="709"/>
        <w:contextualSpacing w:val="0"/>
        <w:jc w:val="both"/>
      </w:pPr>
      <w:r w:rsidRPr="00F45FAF">
        <w:rPr>
          <w:rFonts w:ascii="Times New Roman" w:hAnsi="Times New Roman" w:cs="Times New Roman"/>
          <w:sz w:val="24"/>
          <w:szCs w:val="24"/>
        </w:rPr>
        <w:t>p</w:t>
      </w:r>
      <w:r w:rsidR="00B95D55" w:rsidRPr="00F45FAF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„Razdoblje provedbe projekta“ Uputa</w:t>
      </w:r>
      <w:r w:rsidR="00D36A99" w:rsidRPr="00F45FAF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F45FAF">
        <w:rPr>
          <w:rFonts w:ascii="Times New Roman" w:hAnsi="Times New Roman" w:cs="Times New Roman"/>
          <w:sz w:val="24"/>
          <w:szCs w:val="24"/>
        </w:rPr>
        <w:t>.</w:t>
      </w:r>
    </w:p>
    <w:p w14:paraId="7FCE8A98" w14:textId="77777777" w:rsidR="00DC7E35" w:rsidRPr="00DC7E35" w:rsidRDefault="00DC7E3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31A7E646" w14:textId="7BABCCDF" w:rsidR="00DC7E35" w:rsidRPr="00B80020" w:rsidRDefault="00822641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B80020">
        <w:rPr>
          <w:rFonts w:ascii="Times New Roman" w:hAnsi="Times New Roman" w:cs="Times New Roman"/>
          <w:sz w:val="24"/>
          <w:szCs w:val="24"/>
        </w:rPr>
        <w:t>sredstva dodijeljena temeljem ovog Poziva Prijavitelj neće koristiti za ekonomske djelatnosti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(primjenjivo ukoliko je prijavitelj istraživačka organizacija);</w:t>
      </w:r>
    </w:p>
    <w:p w14:paraId="1139EB6A" w14:textId="7FFD35A0" w:rsidR="00267F71" w:rsidRPr="00B80020" w:rsidRDefault="00DC7E35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4E4B35" w:rsidRPr="00B80020">
        <w:rPr>
          <w:rFonts w:ascii="Times New Roman" w:hAnsi="Times New Roman" w:cs="Times New Roman"/>
          <w:sz w:val="24"/>
          <w:szCs w:val="24"/>
        </w:rPr>
        <w:t xml:space="preserve"> (primjenjivo ukoliko je prijavitelj istraživačka organizacija)</w:t>
      </w:r>
      <w:r w:rsidR="00D021CC" w:rsidRPr="00B80020">
        <w:rPr>
          <w:rFonts w:ascii="Times New Roman" w:hAnsi="Times New Roman" w:cs="Times New Roman"/>
          <w:sz w:val="24"/>
          <w:szCs w:val="24"/>
        </w:rPr>
        <w:t>;</w:t>
      </w:r>
    </w:p>
    <w:p w14:paraId="54966C15" w14:textId="6AC8178A" w:rsidR="00DC7E35" w:rsidRPr="00F45FAF" w:rsidRDefault="004E4B35" w:rsidP="00B80020">
      <w:pPr>
        <w:pStyle w:val="ListParagraph"/>
        <w:numPr>
          <w:ilvl w:val="0"/>
          <w:numId w:val="10"/>
        </w:numPr>
        <w:spacing w:after="16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B80020">
        <w:rPr>
          <w:rFonts w:ascii="Times New Roman" w:hAnsi="Times New Roman" w:cs="Times New Roman"/>
          <w:sz w:val="24"/>
          <w:szCs w:val="24"/>
        </w:rPr>
        <w:t>.</w:t>
      </w:r>
    </w:p>
    <w:p w14:paraId="742217CB" w14:textId="6B34040C" w:rsidR="00533AAC" w:rsidRDefault="00533AAC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09D49D18" w14:textId="67FA695C" w:rsidR="00156468" w:rsidRDefault="00156468" w:rsidP="00156468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8DDFE" w14:textId="74FABEDF" w:rsidR="007A0994" w:rsidRPr="007A0994" w:rsidRDefault="007A0994" w:rsidP="007A0994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3C9B4FF3" w14:textId="77777777" w:rsidR="00156468" w:rsidRPr="000910E0" w:rsidRDefault="00156468" w:rsidP="00156468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C065870" w14:textId="77777777" w:rsidR="009725F9" w:rsidRDefault="009725F9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4EA7" w14:textId="149966B8" w:rsidR="00DC7E35" w:rsidRDefault="00DC7E35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26F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68934E02" w14:textId="3ADC7A06" w:rsidR="006B2210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1E2B75" w14:paraId="128A3827" w14:textId="77777777" w:rsidTr="00FD1873">
        <w:tc>
          <w:tcPr>
            <w:tcW w:w="5000" w:type="pct"/>
          </w:tcPr>
          <w:p w14:paraId="0788BEB6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2408EF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5CCB838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19C3DD2A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0A085D2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EAE3FA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738F83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1F971C57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26FE97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0A019730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A11C5FB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6E53233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71C39B2D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</w:p>
          <w:p w14:paraId="78250694" w14:textId="77777777" w:rsidR="006B2210" w:rsidRPr="001E2B75" w:rsidRDefault="006B2210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3F7A5812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53919191" w14:textId="77777777" w:rsidR="006B2210" w:rsidRPr="001E2B75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F173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F173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  <w:footnote w:id="1">
    <w:p w14:paraId="4F560A4F" w14:textId="7EDD4F3C" w:rsidR="003E55E1" w:rsidRDefault="003E55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55E1"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val="en-US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26FBB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84948"/>
    <w:rsid w:val="007A0994"/>
    <w:rsid w:val="007E6366"/>
    <w:rsid w:val="007F1228"/>
    <w:rsid w:val="00822641"/>
    <w:rsid w:val="008616BA"/>
    <w:rsid w:val="00885431"/>
    <w:rsid w:val="008932D7"/>
    <w:rsid w:val="008D02D7"/>
    <w:rsid w:val="008D1BCD"/>
    <w:rsid w:val="00963EB0"/>
    <w:rsid w:val="009725F9"/>
    <w:rsid w:val="00A37BC1"/>
    <w:rsid w:val="00A43710"/>
    <w:rsid w:val="00A6795B"/>
    <w:rsid w:val="00A854C7"/>
    <w:rsid w:val="00B6532E"/>
    <w:rsid w:val="00B80020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5F76-F06F-481D-AEFF-FE50A24A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10</cp:revision>
  <dcterms:created xsi:type="dcterms:W3CDTF">2022-08-04T09:09:00Z</dcterms:created>
  <dcterms:modified xsi:type="dcterms:W3CDTF">2022-08-23T13:44:00Z</dcterms:modified>
</cp:coreProperties>
</file>